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1E" w:rsidRPr="00E203F7" w:rsidRDefault="008C2F1E" w:rsidP="008C2F1E">
      <w:pPr>
        <w:pStyle w:val="rg"/>
        <w:rPr>
          <w:lang w:val="ru-MO"/>
        </w:rPr>
      </w:pPr>
      <w:r w:rsidRPr="00E203F7">
        <w:rPr>
          <w:lang w:val="ru-MO"/>
        </w:rPr>
        <w:t>Приложение 2</w:t>
      </w:r>
    </w:p>
    <w:p w:rsidR="008C2F1E" w:rsidRPr="00E203F7" w:rsidRDefault="008C2F1E" w:rsidP="008C2F1E">
      <w:pPr>
        <w:pStyle w:val="rg"/>
        <w:jc w:val="both"/>
        <w:rPr>
          <w:b/>
          <w:lang w:val="ru-MO"/>
        </w:rPr>
      </w:pPr>
    </w:p>
    <w:p w:rsidR="008C2F1E" w:rsidRPr="00E203F7" w:rsidRDefault="008C2F1E" w:rsidP="008C2F1E">
      <w:pPr>
        <w:pStyle w:val="rg"/>
        <w:jc w:val="both"/>
        <w:rPr>
          <w:b/>
          <w:lang w:val="ru-MO"/>
        </w:rPr>
      </w:pPr>
    </w:p>
    <w:p w:rsidR="008C2F1E" w:rsidRPr="00E203F7" w:rsidRDefault="008C2F1E" w:rsidP="008C2F1E">
      <w:pPr>
        <w:pStyle w:val="rg"/>
        <w:jc w:val="center"/>
        <w:rPr>
          <w:b/>
          <w:lang w:val="ru-MO"/>
        </w:rPr>
      </w:pPr>
      <w:r w:rsidRPr="00E203F7">
        <w:rPr>
          <w:b/>
          <w:lang w:val="ru-MO"/>
        </w:rPr>
        <w:t>ПЛАН ДЕЙСТВИЙ</w:t>
      </w:r>
    </w:p>
    <w:p w:rsidR="008C2F1E" w:rsidRPr="00E203F7" w:rsidRDefault="008C2F1E" w:rsidP="008C2F1E">
      <w:pPr>
        <w:pStyle w:val="cb"/>
        <w:rPr>
          <w:lang w:val="ru-MO"/>
        </w:rPr>
      </w:pPr>
      <w:r w:rsidRPr="00E203F7">
        <w:rPr>
          <w:lang w:val="ru-MO"/>
        </w:rPr>
        <w:t>по реализации Стратегии развития гражданского</w:t>
      </w:r>
    </w:p>
    <w:p w:rsidR="008C2F1E" w:rsidRPr="00E203F7" w:rsidRDefault="008C2F1E" w:rsidP="008C2F1E">
      <w:pPr>
        <w:pStyle w:val="cb"/>
        <w:rPr>
          <w:lang w:val="ru-MO"/>
        </w:rPr>
      </w:pPr>
      <w:r w:rsidRPr="00E203F7">
        <w:rPr>
          <w:lang w:val="ru-MO"/>
        </w:rPr>
        <w:t>общества на 2018</w:t>
      </w:r>
      <w:r w:rsidRPr="00E203F7">
        <w:rPr>
          <w:lang w:val="en-US"/>
        </w:rPr>
        <w:t>–</w:t>
      </w:r>
      <w:r w:rsidRPr="00E203F7">
        <w:rPr>
          <w:lang w:val="ru-MO"/>
        </w:rPr>
        <w:t>2020 годы</w:t>
      </w:r>
    </w:p>
    <w:p w:rsidR="008C2F1E" w:rsidRPr="00E203F7" w:rsidRDefault="008C2F1E" w:rsidP="008C2F1E">
      <w:pPr>
        <w:pStyle w:val="cb"/>
        <w:rPr>
          <w:lang w:val="ru-MO"/>
        </w:rPr>
      </w:pP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797"/>
        <w:gridCol w:w="992"/>
        <w:gridCol w:w="993"/>
        <w:gridCol w:w="993"/>
        <w:gridCol w:w="993"/>
        <w:gridCol w:w="992"/>
        <w:gridCol w:w="1418"/>
        <w:gridCol w:w="1134"/>
        <w:gridCol w:w="2693"/>
      </w:tblGrid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Вид деятельн</w:t>
            </w:r>
            <w:r w:rsidRPr="00E203F7">
              <w:rPr>
                <w:rFonts w:eastAsia="Times New Roman"/>
                <w:bCs w:val="0"/>
                <w:lang w:val="ru-MO"/>
              </w:rPr>
              <w:t>о</w:t>
            </w:r>
            <w:r w:rsidRPr="00E203F7">
              <w:rPr>
                <w:rFonts w:eastAsia="Times New Roman"/>
                <w:bCs w:val="0"/>
                <w:lang w:val="ru-MO"/>
              </w:rPr>
              <w:t>сти</w:t>
            </w:r>
          </w:p>
        </w:tc>
        <w:tc>
          <w:tcPr>
            <w:tcW w:w="2797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Действия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  <w:t>Срок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испо</w:t>
            </w:r>
            <w:r w:rsidRPr="00E203F7">
              <w:rPr>
                <w:rFonts w:eastAsia="Times New Roman"/>
                <w:bCs w:val="0"/>
                <w:lang w:val="ru-MO"/>
              </w:rPr>
              <w:t>л</w:t>
            </w:r>
            <w:r w:rsidRPr="00E203F7">
              <w:rPr>
                <w:rFonts w:eastAsia="Times New Roman"/>
                <w:bCs w:val="0"/>
                <w:lang w:val="ru-MO"/>
              </w:rPr>
              <w:t>нения</w:t>
            </w:r>
          </w:p>
        </w:tc>
        <w:tc>
          <w:tcPr>
            <w:tcW w:w="3971" w:type="dxa"/>
            <w:gridSpan w:val="4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Источники финансир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вания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(леев</w:t>
            </w:r>
            <w:r w:rsidRPr="00E203F7">
              <w:rPr>
                <w:rFonts w:eastAsia="Times New Roman"/>
                <w:bCs w:val="0"/>
                <w:lang w:val="ru-MO"/>
              </w:rPr>
              <w:t>)</w:t>
            </w:r>
          </w:p>
        </w:tc>
        <w:tc>
          <w:tcPr>
            <w:tcW w:w="1418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Отве</w:t>
            </w:r>
            <w:r w:rsidRPr="00E203F7">
              <w:rPr>
                <w:rFonts w:eastAsia="Cambria"/>
                <w:lang w:val="ru-MO"/>
              </w:rPr>
              <w:t>т</w:t>
            </w:r>
            <w:r w:rsidRPr="00E203F7">
              <w:rPr>
                <w:rFonts w:eastAsia="Cambria"/>
                <w:lang w:val="ru-MO"/>
              </w:rPr>
              <w:t>ственные</w:t>
            </w:r>
          </w:p>
        </w:tc>
        <w:tc>
          <w:tcPr>
            <w:tcW w:w="1134" w:type="dxa"/>
            <w:vMerge w:val="restart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rFonts w:eastAsia="Times New Roman"/>
                <w:b/>
                <w:lang w:val="ru-MO"/>
              </w:rPr>
            </w:pPr>
            <w:r w:rsidRPr="00E203F7">
              <w:rPr>
                <w:rFonts w:eastAsia="Cambria"/>
                <w:b/>
                <w:lang w:val="ru-MO"/>
              </w:rPr>
              <w:t>Пар</w:t>
            </w:r>
            <w:r w:rsidRPr="00E203F7">
              <w:rPr>
                <w:rFonts w:eastAsia="Cambria"/>
                <w:b/>
                <w:lang w:val="ru-MO"/>
              </w:rPr>
              <w:t>т</w:t>
            </w:r>
            <w:r w:rsidRPr="00E203F7">
              <w:rPr>
                <w:rFonts w:eastAsia="Cambria"/>
                <w:b/>
                <w:lang w:val="ru-MO"/>
              </w:rPr>
              <w:t>неры</w:t>
            </w:r>
          </w:p>
        </w:tc>
        <w:tc>
          <w:tcPr>
            <w:tcW w:w="2693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Показатели прогре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бюджетные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иные</w:t>
            </w: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2019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2020 г.</w:t>
            </w: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15310" w:type="dxa"/>
            <w:gridSpan w:val="10"/>
            <w:shd w:val="clear" w:color="auto" w:fill="auto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Cs/>
                <w:sz w:val="24"/>
                <w:szCs w:val="24"/>
                <w:lang w:val="ru-MO"/>
              </w:rPr>
              <w:t>Общая цель 1.</w:t>
            </w:r>
            <w:r w:rsidRPr="00E203F7">
              <w:rPr>
                <w:rFonts w:ascii="Times New Roman" w:hAnsi="Times New Roman"/>
                <w:b/>
                <w:bCs/>
                <w:sz w:val="24"/>
                <w:szCs w:val="24"/>
                <w:lang w:val="ru-MO"/>
              </w:rPr>
              <w:t xml:space="preserve">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proofErr w:type="gramStart"/>
            <w:r w:rsidRPr="00E203F7">
              <w:rPr>
                <w:rFonts w:ascii="Times New Roman" w:hAnsi="Times New Roman"/>
                <w:b/>
                <w:bCs/>
                <w:sz w:val="24"/>
                <w:szCs w:val="24"/>
                <w:lang w:val="ru-MO"/>
              </w:rPr>
              <w:t xml:space="preserve">Укрепление нормативной и институциональной баз, относящихся к участию гражданского общества в разработке </w:t>
            </w:r>
            <w:proofErr w:type="gramEnd"/>
          </w:p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bCs/>
                <w:sz w:val="24"/>
                <w:szCs w:val="24"/>
                <w:lang w:val="ru-MO"/>
              </w:rPr>
              <w:t>публичных пол</w:t>
            </w:r>
            <w:r w:rsidRPr="00E203F7">
              <w:rPr>
                <w:rFonts w:ascii="Times New Roman" w:hAnsi="Times New Roman"/>
                <w:b/>
                <w:bCs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b/>
                <w:bCs/>
                <w:sz w:val="24"/>
                <w:szCs w:val="24"/>
                <w:lang w:val="ru-MO"/>
              </w:rPr>
              <w:t xml:space="preserve">тик и </w:t>
            </w:r>
            <w:proofErr w:type="gramStart"/>
            <w:r w:rsidRPr="00E203F7">
              <w:rPr>
                <w:rFonts w:ascii="Times New Roman" w:hAnsi="Times New Roman"/>
                <w:b/>
                <w:bCs/>
                <w:sz w:val="24"/>
                <w:szCs w:val="24"/>
                <w:lang w:val="ru-MO"/>
              </w:rPr>
              <w:t>мониторинге</w:t>
            </w:r>
            <w:proofErr w:type="gramEnd"/>
            <w:r w:rsidRPr="00E203F7">
              <w:rPr>
                <w:rFonts w:ascii="Times New Roman" w:hAnsi="Times New Roman"/>
                <w:b/>
                <w:bCs/>
                <w:sz w:val="24"/>
                <w:szCs w:val="24"/>
                <w:lang w:val="ru-MO"/>
              </w:rPr>
              <w:t xml:space="preserve"> их внедрения</w:t>
            </w:r>
          </w:p>
        </w:tc>
      </w:tr>
      <w:tr w:rsidR="008C2F1E" w:rsidRPr="00E203F7" w:rsidTr="008A3C50">
        <w:tc>
          <w:tcPr>
            <w:tcW w:w="15310" w:type="dxa"/>
            <w:gridSpan w:val="10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Cs/>
                <w:i/>
                <w:sz w:val="24"/>
                <w:szCs w:val="24"/>
                <w:lang w:val="ru-MO"/>
              </w:rPr>
              <w:t>Конкретная цель 1.1.</w:t>
            </w:r>
            <w:r w:rsidRPr="00E203F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MO"/>
              </w:rPr>
              <w:t xml:space="preserve"> 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Развитие институциональных механизмов сотрудничества между органами публично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й власти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 xml:space="preserve"> и гражданским обществом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1.1.1 Создание на уровне Правител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ства структуры, ответственной за сотрудничество с гражданским общ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ством,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ее укре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ление 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1.1.1.1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изменений в нормативную базу с ц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лью создания структуры, ответственной за сотрудничество с гражданским 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ществом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Министе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ство юст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ции,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Госуда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ственная ка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целярия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и потенц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альные результаты ра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работанных и принятых измен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ний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1.1.1.2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Создание структуры, ответственной за сотрудничество с гражданским 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ществом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Госуда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ственная ка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целярия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НСУ,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Совет НПО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Структура, ответстве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ная за сотрудничество с гражданским общ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ством, создана;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лиц, раб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тающих в ССГО;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функциональность ССГО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1.1.1.3 </w:t>
            </w:r>
          </w:p>
          <w:p w:rsidR="008C2F1E" w:rsidRPr="00E203F7" w:rsidDel="0077327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Укрепление потенциала структуры, ответстве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ной за сотрудничество с гражданским общес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вом 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2018–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2019 гг.</w:t>
            </w:r>
          </w:p>
        </w:tc>
        <w:tc>
          <w:tcPr>
            <w:tcW w:w="2979" w:type="dxa"/>
            <w:gridSpan w:val="3"/>
          </w:tcPr>
          <w:p w:rsidR="008C2F1E" w:rsidRPr="00E203F7" w:rsidDel="0077327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 xml:space="preserve">В пределах имеющихся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Госуда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енная ка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целярия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Потребности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укрепл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ния выявленного потенци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ла;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повышенные знания/потенциал стру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туры, ответственной за  сотрудничество с гражданским общес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вом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1.1.1.4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Разработка и реализация плана развития сотру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ничества между Прав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тельством и гражданским 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ществом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Госуда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ственная канцел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рия/ССГО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КМВМ,</w:t>
            </w:r>
          </w:p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Совет НПО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Периодичность и кол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чество проведенных мер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приятий;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и геогр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фия участников меропри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тий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1.1.2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Укрепление мех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низма сотруднич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ства между Парл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ментом и гражданским общ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ством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1.1.2.1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Внесение изменений в Регламент Парламента с включением </w:t>
            </w:r>
            <w:proofErr w:type="gramStart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правил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зрачности процесса принятия решений</w:t>
            </w:r>
            <w:proofErr w:type="gramEnd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и публичных консул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таций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25000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Парламент </w:t>
            </w:r>
          </w:p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Совет НПО,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КМВМ, ЦЮРМ,</w:t>
            </w:r>
          </w:p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Внесенные измен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ния в Регламент Парламента;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и преобр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зовательный потенциал прин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тых поправок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1.1.2.2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Проведение меропри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тий по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сотрудничеству между Парламентом и гражданским 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ществом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2018–2020 гг.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Парламент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КМВМ,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</w:t>
            </w:r>
            <w:r w:rsidRPr="00E203F7">
              <w:rPr>
                <w:rFonts w:ascii="Times New Roman" w:hAnsi="Times New Roman"/>
                <w:sz w:val="24"/>
                <w:szCs w:val="24"/>
                <w:highlight w:val="yellow"/>
                <w:lang w:val="ru-MO"/>
              </w:rPr>
              <w:t xml:space="preserve">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проведенных меропри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тий;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количество и геогр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фия участников мероприятий – пре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ставителей ОГО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1.1.2.3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Мониторинг и оценка сотрудничества между Парламентом и гра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данским обществом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Парламент 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Совет НПО,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КМВМ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отчетов о мониторинге и оце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ке;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рекоменд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ций по итогам монит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ринга и оценки, одобренных Па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ламентом и партнерами, и их преобразовательный п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тенциал</w:t>
            </w:r>
          </w:p>
        </w:tc>
      </w:tr>
      <w:tr w:rsidR="008C2F1E" w:rsidRPr="00E203F7" w:rsidTr="008A3C50">
        <w:tc>
          <w:tcPr>
            <w:tcW w:w="15310" w:type="dxa"/>
            <w:gridSpan w:val="10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i/>
                <w:sz w:val="24"/>
                <w:szCs w:val="24"/>
                <w:lang w:val="ru-MO"/>
              </w:rPr>
              <w:t>Конкретная цель 1.2. Укрепление возможности сотрудничества между государственными служащими и представителями ОГО в процессе разработки, м</w:t>
            </w:r>
            <w:r w:rsidRPr="00E203F7">
              <w:rPr>
                <w:rFonts w:ascii="Times New Roman" w:eastAsia="MS Mincho" w:hAnsi="Times New Roman"/>
                <w:i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MS Mincho" w:hAnsi="Times New Roman"/>
                <w:i/>
                <w:sz w:val="24"/>
                <w:szCs w:val="24"/>
                <w:lang w:val="ru-MO"/>
              </w:rPr>
              <w:t>ниторинга публичных политик и оценки их осуществления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1.2.1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Развитие компете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ции людских ресу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сов органов пу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личной власти и представителей ОГО для обеспечения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зрачности процесса прин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тия решений на всех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уровнях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 xml:space="preserve">1.2.1.1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Совместная разработка курикуллума в области уч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стия и прозрачности  процесса принятия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шений для ОМПУ и ОЦПУ, приведенного в соответствие с полож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ниями Закона о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зрачности процесса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нятия решений №  239/2008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40000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АПУ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КМВМ,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Совет НПО,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НСУ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Совместно разработанный ку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рикулум;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академич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ских часов/тем, посвященных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зрачности процесса принятия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шений, включенных в </w:t>
            </w:r>
            <w:proofErr w:type="gramStart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разработанный</w:t>
            </w:r>
            <w:proofErr w:type="gramEnd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курр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кулум;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объявление о консул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тациях по учебной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грамме, опубликова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ное </w:t>
            </w:r>
            <w:proofErr w:type="gramStart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на</w:t>
            </w:r>
            <w:proofErr w:type="gramEnd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офиц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альной веб-странице АПУ и отправленное партн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рам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1.2.1.2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Совместное обучение представителей це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тральных и местных органов публичной власти и гражданского общества в области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зрачности процесса принятия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шений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100000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АПУ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КМВМ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Периодичность и кол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чество проведенных совместных учебных мер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приятий;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участн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ков в органах публичной власти и ОГО (с разбивкой по полу, с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лу/городу, возрасту, языку), принявших участие в учебных м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роприятиях;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компетенции, улу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ч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шенные в результате соответствующего об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чения 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1.2.1.3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Обучение представит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лей органов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публичной власти и гражданского общества в области м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ниторинга и оценки ре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лизации публичных п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литик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2018–2020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АПУ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pStyle w:val="TableParagraph"/>
              <w:ind w:left="38" w:right="104"/>
              <w:rPr>
                <w:sz w:val="24"/>
                <w:szCs w:val="24"/>
                <w:lang w:val="ru-MO"/>
              </w:rPr>
            </w:pPr>
            <w:r w:rsidRPr="00E203F7">
              <w:rPr>
                <w:sz w:val="24"/>
                <w:szCs w:val="24"/>
                <w:lang w:val="ru-MO"/>
              </w:rPr>
              <w:t>ОГО,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партн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ры по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разв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тию, КМВМ,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Совет НПО, НСУ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Количество, продолж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тельность и периодичность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орган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зованных обучающих меропри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тий;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количество, геогр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фия и область обученных бенефици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ров;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компетенции, улу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ч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шенные в результате соответствующего об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чения</w:t>
            </w:r>
          </w:p>
        </w:tc>
      </w:tr>
      <w:tr w:rsidR="008C2F1E" w:rsidRPr="00E203F7" w:rsidTr="008A3C50"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1.2.1.4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Оценка совместного обучения представителей 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ганов публичного упра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ления и ОГО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АПУ 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ОГО 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и выводы оценки;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усвоенные знания и улучшенные навыки, подтвержденные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зультатами оценок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1.2.2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Организация мероприятий по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движению участия ОГО в процессе прин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тия решений и по стимулиров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нию органов пу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личной власти к поддержке уч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стия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1.2.2.1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Развитие механизмов ст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мулирования участия населения в процессе принятия реш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ний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Централ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ные и местные органы публичной власти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ОГО, КМВМ, Совет НПО, НСУ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и функци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нальность разработанных механи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мов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1.2.2.2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Организация меропри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тий по стимулированию участия населения в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процессе принятия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шений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2018–2020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400000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Госуда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ственная канцел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рия,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централ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ые и местные орг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ны публичной власти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Ежегодно организов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ны четыре меропри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тия;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доля участвующих граждан;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количество и пери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дичность проведенных мер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приятий;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и геогр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фия проинформир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ванных лиц (с разбивкой по полу, селу/городу, во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расту, языку общения и др.);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лучших практик участия нас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ления в процессе принятия реш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ний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1.2.2.3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Организация меропри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тий по премированию ОГО, продв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гающих участие в процессе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нятия решений, и орг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нов публичной власти, обеспечивающих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зрачность процесса принятия реш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ний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Централ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ные и местные органы публичной власти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Совет НПО,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НСУ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организ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ванных меропри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тий;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премир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ванных лиц в органах пу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личной власти и ОГО, их сфера деятельности и геогр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фия</w:t>
            </w:r>
          </w:p>
        </w:tc>
      </w:tr>
      <w:tr w:rsidR="008C2F1E" w:rsidRPr="00E203F7" w:rsidTr="008A3C50">
        <w:tc>
          <w:tcPr>
            <w:tcW w:w="15310" w:type="dxa"/>
            <w:gridSpan w:val="10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i/>
                <w:sz w:val="24"/>
                <w:szCs w:val="24"/>
                <w:lang w:val="ru-MO"/>
              </w:rPr>
              <w:t>Конкретная цель 1.3. Совершенствование существующих механизмов и создание новых инструментов для гарантирования прозрачности деятельности органов публичной власти всех уровней, от Парламента и Правительства до районных/местных сов</w:t>
            </w:r>
            <w:r w:rsidRPr="00E203F7">
              <w:rPr>
                <w:rFonts w:ascii="Times New Roman" w:eastAsia="Times New Roman" w:hAnsi="Times New Roman"/>
                <w:i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i/>
                <w:sz w:val="24"/>
                <w:szCs w:val="24"/>
                <w:lang w:val="ru-MO"/>
              </w:rPr>
              <w:t>тов и примаров</w:t>
            </w:r>
          </w:p>
        </w:tc>
      </w:tr>
      <w:tr w:rsidR="008C2F1E" w:rsidRPr="00E203F7" w:rsidTr="008A3C50">
        <w:tc>
          <w:tcPr>
            <w:tcW w:w="2305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1.3.1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Внесение измен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ний в основное и смежное законод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тельство с ц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лью </w:t>
            </w:r>
            <w:proofErr w:type="gramStart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обеспечения прозрачности проце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са принятия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шений</w:t>
            </w:r>
            <w:proofErr w:type="gramEnd"/>
          </w:p>
        </w:tc>
        <w:tc>
          <w:tcPr>
            <w:tcW w:w="2797" w:type="dxa"/>
          </w:tcPr>
          <w:p w:rsidR="008C2F1E" w:rsidRPr="00E203F7" w:rsidRDefault="008C2F1E" w:rsidP="008A3C50">
            <w:pPr>
              <w:pStyle w:val="TableParagraph"/>
              <w:ind w:left="38" w:right="213"/>
              <w:rPr>
                <w:sz w:val="24"/>
                <w:szCs w:val="24"/>
                <w:lang w:val="ru-MO"/>
              </w:rPr>
            </w:pPr>
            <w:r w:rsidRPr="00E203F7">
              <w:rPr>
                <w:sz w:val="24"/>
                <w:szCs w:val="24"/>
                <w:lang w:val="ru-MO"/>
              </w:rPr>
              <w:lastRenderedPageBreak/>
              <w:t xml:space="preserve">1.3.1.1 </w:t>
            </w:r>
          </w:p>
          <w:p w:rsidR="008C2F1E" w:rsidRPr="00E203F7" w:rsidRDefault="008C2F1E" w:rsidP="008A3C50">
            <w:pPr>
              <w:pStyle w:val="TableParagraph"/>
              <w:ind w:left="38" w:right="213"/>
              <w:rPr>
                <w:rFonts w:eastAsia="Cambria"/>
                <w:sz w:val="24"/>
                <w:szCs w:val="24"/>
                <w:lang w:val="ru-MO"/>
              </w:rPr>
            </w:pPr>
            <w:r w:rsidRPr="00E203F7">
              <w:rPr>
                <w:sz w:val="24"/>
                <w:szCs w:val="24"/>
                <w:lang w:val="ru-MO"/>
              </w:rPr>
              <w:lastRenderedPageBreak/>
              <w:t>Внесение изменений в нормативную базу прозрачности процесса принятия р</w:t>
            </w:r>
            <w:r w:rsidRPr="00E203F7">
              <w:rPr>
                <w:sz w:val="24"/>
                <w:szCs w:val="24"/>
                <w:lang w:val="ru-MO"/>
              </w:rPr>
              <w:t>е</w:t>
            </w:r>
            <w:r w:rsidRPr="00E203F7">
              <w:rPr>
                <w:sz w:val="24"/>
                <w:szCs w:val="24"/>
                <w:lang w:val="ru-MO"/>
              </w:rPr>
              <w:t>шений</w:t>
            </w:r>
            <w:r w:rsidRPr="00E203F7">
              <w:rPr>
                <w:rFonts w:eastAsia="Cambria"/>
                <w:sz w:val="24"/>
                <w:szCs w:val="24"/>
                <w:lang w:val="ru-MO"/>
              </w:rPr>
              <w:t xml:space="preserve">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В пределах имеющихся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cn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Правител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тво,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Парламент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ОГО,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КМВМ,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ОМПУ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 xml:space="preserve">Проекты о внесении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изменений в нормати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ную базу </w:t>
            </w:r>
            <w:proofErr w:type="gramStart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обеспечения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зрачности процесса принятия решений</w:t>
            </w:r>
            <w:proofErr w:type="gramEnd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приняты;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и преобр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зовательный потенциал прин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тых поправок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 xml:space="preserve">1.3.2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Создание на наци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нальном уровне действенных мех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низмов обеспечения участия ОГО в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цессе принятия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шений, в том числе путем обесп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чения доступа к информ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ции о проектах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шений и к своду рек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мендаций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1.3.2.1 </w:t>
            </w:r>
          </w:p>
          <w:p w:rsidR="008C2F1E" w:rsidRPr="00E203F7" w:rsidRDefault="008C2F1E" w:rsidP="008A3C50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Создание и укрепление эффективных механи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мов продвижения и уч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стия ОГО в проце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се принятия решений, уведомление их о соответствующем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цессе и проведении пу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личных консультаций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Госуда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ственная канцел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рия,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Парламент 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КМВМ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и функци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нальность созданных м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ханизмов;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количество, геогр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фия и сферы деятельности ОГО, </w:t>
            </w:r>
            <w:proofErr w:type="gramStart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использующих</w:t>
            </w:r>
            <w:proofErr w:type="gramEnd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соответствующие  м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ханизмы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1.3.2.2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Изменение и коррект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ровка структуры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отчетов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це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тральных органов публичной власти о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зрачности процесса принятия решений в соответствии с п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ложениями законодател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ства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 xml:space="preserve"> 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Госуда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ственная канцел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рия,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Парламент 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НСУ,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КМВМ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структуру отчета внесены измен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ния/</w:t>
            </w:r>
            <w:proofErr w:type="gramStart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допол-нения</w:t>
            </w:r>
            <w:proofErr w:type="gramEnd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структура отчета орг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нов публичной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власти об обеспечении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зрачности процесса принятия решений соответствует положениям законод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тельства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1.3.2.3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Актуализация базы данных заинтересова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ных сторон и обеспечение доступности соответствующей 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формации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Госуда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ственная канцел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рия,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Парламент  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НСУ,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Совет НПО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Систематичность акт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ализации базы данных;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функциональность базы данных;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 п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сещений базы данных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1.3.2.4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Обеспечение опублик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вания результатов  пу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личных консультаций на веб-странице  </w:t>
            </w:r>
            <w:hyperlink r:id="rId6" w:history="1">
              <w:r w:rsidRPr="00E203F7">
                <w:rPr>
                  <w:rStyle w:val="Hyperlink"/>
                  <w:rFonts w:ascii="Times New Roman" w:hAnsi="Times New Roman"/>
                  <w:sz w:val="24"/>
                  <w:szCs w:val="24"/>
                  <w:lang w:val="ru-MO"/>
                </w:rPr>
                <w:t>www.particip.gov.md</w:t>
              </w:r>
            </w:hyperlink>
            <w:r w:rsidRPr="00E203F7">
              <w:rPr>
                <w:rStyle w:val="Hyperlink"/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Правител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ство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Систематичность опубликов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ния всех итогов публичных консульт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ций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1.3.2.5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Опубликование на </w:t>
            </w:r>
            <w:proofErr w:type="gramStart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оф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циальной</w:t>
            </w:r>
            <w:proofErr w:type="gramEnd"/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веб-странице Па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ламента внесенных депутатами поправок, а также всех измен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ний в текст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проектов норм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тивных актов сразу же после их п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ступления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2018–2020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Парламент  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Систематичность опу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ликования всех прое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тов нормативных актов и поправок к ним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 xml:space="preserve">1.3.3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Создание и усил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ние на местном уровне механизмов обеспечения доступа к 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формации и вовлечение насел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ния в процесс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нятия реш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ний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1.3.3.1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Создание платформы для опубликования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ектов решений органов местной публичной вл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сти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ОМПУ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КМВМ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Платформа для опу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ликования проектов решений ОМПУ созд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на;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количество, уровень и география местных органов публичной власти, опубл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ковавших проекты решений на со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данной платформе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1.3.3.2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Создание механизмов сбора и обобщения информации об обеспеч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нии прозрачности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цесса принятия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шений на местном уровне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ОМПУ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КМВМ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Механизмы сбора и обобщения информ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ции об обеспечении прозра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ч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ности процесса прин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тия решений на местном уровне созд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ны;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функциональность созданных механи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мов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1.3.3.3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Разработка и утвержд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ние методических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струкций по внедрению законодательства о пр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зрачности процесса принятия реш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ний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Госуда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ственная ка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целярия 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ОГО,</w:t>
            </w:r>
          </w:p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КМВМ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Методические 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струкции разработаны;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количество, уровень и 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география местных органов публичной власти, применяющих соответствующие и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струкции</w:t>
            </w:r>
          </w:p>
        </w:tc>
      </w:tr>
      <w:tr w:rsidR="008C2F1E" w:rsidRPr="00E203F7" w:rsidTr="008A3C50">
        <w:tc>
          <w:tcPr>
            <w:tcW w:w="15310" w:type="dxa"/>
            <w:gridSpan w:val="10"/>
            <w:shd w:val="clear" w:color="auto" w:fill="auto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Общая цель 2.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Развитие и укрепление финансовой устойчивости гражданского общества</w:t>
            </w:r>
          </w:p>
        </w:tc>
      </w:tr>
      <w:tr w:rsidR="008C2F1E" w:rsidRPr="00E203F7" w:rsidTr="008A3C50">
        <w:tc>
          <w:tcPr>
            <w:tcW w:w="15310" w:type="dxa"/>
            <w:gridSpan w:val="10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Конкретная цель 2.1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.</w:t>
            </w:r>
            <w:r w:rsidRPr="00E203F7">
              <w:rPr>
                <w:rFonts w:ascii="Times New Roman" w:hAnsi="Times New Roman"/>
                <w:b/>
                <w:i/>
                <w:sz w:val="24"/>
                <w:szCs w:val="24"/>
                <w:lang w:val="ru-MO"/>
              </w:rPr>
              <w:t xml:space="preserve">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Стимулирование населения и частного сектора к поддержке гражданского общества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Деятельн</w:t>
            </w:r>
            <w:r w:rsidRPr="00E203F7">
              <w:rPr>
                <w:rFonts w:eastAsia="Times New Roman"/>
                <w:bCs w:val="0"/>
                <w:lang w:val="ru-MO"/>
              </w:rPr>
              <w:t>о</w:t>
            </w:r>
            <w:r w:rsidRPr="00E203F7">
              <w:rPr>
                <w:rFonts w:eastAsia="Times New Roman"/>
                <w:bCs w:val="0"/>
                <w:lang w:val="ru-MO"/>
              </w:rPr>
              <w:t>сть</w:t>
            </w:r>
          </w:p>
        </w:tc>
        <w:tc>
          <w:tcPr>
            <w:tcW w:w="2797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Действия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  <w:t>Срок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испо</w:t>
            </w:r>
            <w:r w:rsidRPr="00E203F7">
              <w:rPr>
                <w:rFonts w:eastAsia="Times New Roman"/>
                <w:bCs w:val="0"/>
                <w:lang w:val="ru-MO"/>
              </w:rPr>
              <w:t>л</w:t>
            </w:r>
            <w:r w:rsidRPr="00E203F7">
              <w:rPr>
                <w:rFonts w:eastAsia="Times New Roman"/>
                <w:bCs w:val="0"/>
                <w:lang w:val="ru-MO"/>
              </w:rPr>
              <w:t>нения</w:t>
            </w:r>
          </w:p>
        </w:tc>
        <w:tc>
          <w:tcPr>
            <w:tcW w:w="3971" w:type="dxa"/>
            <w:gridSpan w:val="4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Источники финансир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вания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(леев</w:t>
            </w:r>
            <w:r w:rsidRPr="00E203F7">
              <w:rPr>
                <w:rFonts w:eastAsia="Times New Roman"/>
                <w:bCs w:val="0"/>
                <w:lang w:val="ru-MO"/>
              </w:rPr>
              <w:t>)</w:t>
            </w:r>
          </w:p>
        </w:tc>
        <w:tc>
          <w:tcPr>
            <w:tcW w:w="1418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Отве</w:t>
            </w:r>
            <w:r w:rsidRPr="00E203F7">
              <w:rPr>
                <w:rFonts w:eastAsia="Cambria"/>
                <w:lang w:val="ru-MO"/>
              </w:rPr>
              <w:t>т</w:t>
            </w:r>
            <w:r w:rsidRPr="00E203F7">
              <w:rPr>
                <w:rFonts w:eastAsia="Cambria"/>
                <w:lang w:val="ru-MO"/>
              </w:rPr>
              <w:t>ственные</w:t>
            </w:r>
          </w:p>
        </w:tc>
        <w:tc>
          <w:tcPr>
            <w:tcW w:w="1134" w:type="dxa"/>
            <w:vMerge w:val="restart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rFonts w:eastAsia="Times New Roman"/>
                <w:b/>
                <w:lang w:val="ru-MO"/>
              </w:rPr>
            </w:pPr>
            <w:r w:rsidRPr="00E203F7">
              <w:rPr>
                <w:rFonts w:eastAsia="Cambria"/>
                <w:b/>
                <w:lang w:val="ru-MO"/>
              </w:rPr>
              <w:t>Пар</w:t>
            </w:r>
            <w:r w:rsidRPr="00E203F7">
              <w:rPr>
                <w:rFonts w:eastAsia="Cambria"/>
                <w:b/>
                <w:lang w:val="ru-MO"/>
              </w:rPr>
              <w:t>т</w:t>
            </w:r>
            <w:r w:rsidRPr="00E203F7">
              <w:rPr>
                <w:rFonts w:eastAsia="Cambria"/>
                <w:b/>
                <w:lang w:val="ru-MO"/>
              </w:rPr>
              <w:t>неры</w:t>
            </w:r>
          </w:p>
        </w:tc>
        <w:tc>
          <w:tcPr>
            <w:tcW w:w="2693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Показатели прогре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бюджетные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иные</w:t>
            </w: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2019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2020 г.</w:t>
            </w: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2.1.1</w:t>
            </w:r>
          </w:p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Совершенствов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ние механизма перен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правления 2% 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хода физических лиц и обеспечение его функционал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ности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2.1.1.1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Проведение информац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онной кампании на национальном уровне о прим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нении механизма перен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правления 2% дохода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 2019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rPr>
                <w:strike/>
                <w:lang w:val="ru-MO"/>
              </w:rPr>
            </w:pPr>
            <w:r w:rsidRPr="00E203F7">
              <w:rPr>
                <w:lang w:val="ru-MO"/>
              </w:rPr>
              <w:t>200000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strike/>
                <w:lang w:val="ru-MO"/>
              </w:rPr>
            </w:pPr>
            <w:r w:rsidRPr="00E203F7">
              <w:rPr>
                <w:lang w:val="ru-MO"/>
              </w:rPr>
              <w:t>Совет НПО или другой представ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тельный орган ОГО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Проведенная информационная ка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пания;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продолжительность информационной ка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пании;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виды, количество и география средств масс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вой информации и др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гих субъектов, вовл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ченных в информир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вание;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распр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страненных рекламных роликов, опубликова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ных информационных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мат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риалов</w:t>
            </w:r>
          </w:p>
        </w:tc>
      </w:tr>
      <w:tr w:rsidR="008C2F1E" w:rsidRPr="00E203F7" w:rsidTr="008A3C50">
        <w:tc>
          <w:tcPr>
            <w:tcW w:w="2305" w:type="dxa"/>
            <w:vMerge/>
            <w:tcBorders>
              <w:bottom w:val="nil"/>
            </w:tcBorders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tabs>
                <w:tab w:val="right" w:pos="25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2.1.1.2 </w:t>
            </w:r>
          </w:p>
          <w:p w:rsidR="008C2F1E" w:rsidRPr="00E203F7" w:rsidRDefault="008C2F1E" w:rsidP="008A3C50">
            <w:pPr>
              <w:tabs>
                <w:tab w:val="right" w:pos="25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Обучающие меропри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тия по механизму перенапра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ления 2% дохода для пре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ставителей ОГО и лиц, ответственных за его внедрение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АПУ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пери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дичность обучающих мер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приятий;                           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сфера деятельности и ге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графия лиц, прошедших об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чение;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компетенции, усове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шенствованные в результате об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чения;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количество ОГО, 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подавших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заявку на пер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направление 2% дохода</w:t>
            </w:r>
          </w:p>
        </w:tc>
      </w:tr>
      <w:tr w:rsidR="008C2F1E" w:rsidRPr="00E203F7" w:rsidTr="008A3C50">
        <w:tc>
          <w:tcPr>
            <w:tcW w:w="2305" w:type="dxa"/>
            <w:vMerge w:val="restart"/>
            <w:tcBorders>
              <w:top w:val="nil"/>
            </w:tcBorders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2.1.2 </w:t>
            </w:r>
          </w:p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Повышение эффе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тивности механи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ма спонсорства, благотворительн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и и вычитания пожертв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ваний</w:t>
            </w:r>
          </w:p>
          <w:p w:rsidR="008C2F1E" w:rsidRPr="00E203F7" w:rsidRDefault="008C2F1E" w:rsidP="008A3C50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2.1.1.3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Ежегодная оценка 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ex post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внедрения механизма перенаправл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2% дохода и обсуждение результатов соотве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ствующих оценок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rPr>
                <w:lang w:val="ru-MO"/>
              </w:rPr>
            </w:pPr>
            <w:r w:rsidRPr="00E203F7">
              <w:rPr>
                <w:lang w:val="ru-MO"/>
              </w:rPr>
              <w:t>40000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ф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нансов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проведе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оценочных мер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приятий;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значимость констат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ций, заключений и применяемость рекомендаций оц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нок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2.1.2.1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политик 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носительно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применения Закона о благотвор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тельности и спонсо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стве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№ 1420/2002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Госуда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ственная ка</w:t>
            </w:r>
            <w:r w:rsidRPr="00E203F7">
              <w:rPr>
                <w:lang w:val="ru-MO"/>
              </w:rPr>
              <w:t>н</w:t>
            </w:r>
            <w:r w:rsidRPr="00E203F7">
              <w:rPr>
                <w:lang w:val="ru-MO"/>
              </w:rPr>
              <w:t>целярия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Разработанное иссл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дование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2.1.2.2.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Внесение изменений в нормативную базу, связанных, по обстоятел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ствам, с благотвор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тельностью и спонсо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ством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Del="00DA7DB9" w:rsidRDefault="008C2F1E" w:rsidP="008A3C50">
            <w:pPr>
              <w:pStyle w:val="NormalWeb"/>
              <w:ind w:firstLine="14"/>
              <w:rPr>
                <w:lang w:val="ru-MO"/>
              </w:rPr>
            </w:pPr>
            <w:r w:rsidRPr="00E203F7">
              <w:rPr>
                <w:lang w:val="ru-MO"/>
              </w:rPr>
              <w:t>Парл</w:t>
            </w:r>
            <w:r w:rsidRPr="00E203F7">
              <w:rPr>
                <w:lang w:val="ru-MO"/>
              </w:rPr>
              <w:t>а</w:t>
            </w:r>
            <w:r w:rsidRPr="00E203F7">
              <w:rPr>
                <w:lang w:val="ru-MO"/>
              </w:rPr>
              <w:t>мент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Внесены измен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ния в нормативную базу;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потенц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альные эффекты вн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сенных/утвержденных изменений в нормати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ную базу, связанную с механизмом благотв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рительности и спонсо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2.1.2.3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Внесение изменений и дополнений в нормативную базу, св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занную с механизмом вычитания пожертвов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ний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ф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нансов</w:t>
            </w:r>
          </w:p>
          <w:p w:rsidR="008C2F1E" w:rsidRPr="00E203F7" w:rsidRDefault="008C2F1E" w:rsidP="008A3C50">
            <w:pPr>
              <w:pStyle w:val="NormalWeb"/>
              <w:ind w:firstLine="14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потенц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альные эффекты изм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нений, внесе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ных/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утверж-денных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в нормативную базу, связанных с мех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низмом вычитания пожертв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ваний 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2.1.2.4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Оценка 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ex post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внедр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ния политики в области спонсорства,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благотв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рительности и вычитания п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жертвований и обсужд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ние результатов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2018–2020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ф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нансов</w:t>
            </w:r>
          </w:p>
          <w:p w:rsidR="008C2F1E" w:rsidRPr="00E203F7" w:rsidRDefault="008C2F1E" w:rsidP="008A3C50">
            <w:pPr>
              <w:pStyle w:val="NormalWeb"/>
              <w:ind w:firstLine="14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проведе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оценок;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значимость констат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ций,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заключений и применяемость рекомендаций по ит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гам оценки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2.1.3 </w:t>
            </w:r>
          </w:p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Регулирование и стимулирование развития социал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ного предпринимательс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2.1.3.1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Корректировка норм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тивной базы в области социального предпринимател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ства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rPr>
                <w:lang w:val="ru-MO"/>
              </w:rPr>
            </w:pPr>
            <w:r w:rsidRPr="00E203F7">
              <w:rPr>
                <w:lang w:val="ru-MO"/>
              </w:rPr>
              <w:t>Парл</w:t>
            </w:r>
            <w:r w:rsidRPr="00E203F7">
              <w:rPr>
                <w:lang w:val="ru-MO"/>
              </w:rPr>
              <w:t>а</w:t>
            </w:r>
            <w:r w:rsidRPr="00E203F7">
              <w:rPr>
                <w:lang w:val="ru-MO"/>
              </w:rPr>
              <w:t>мент,</w:t>
            </w:r>
          </w:p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МЭИ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потенц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альные эффекты изм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нений в нормативные акты (внесе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ных/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утвер-жденных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), относящихся к социальному пре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принимательству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2.1.3.2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проекта П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становления Правител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ства об утверждении Положения о Национальной 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миссии по социальному предпр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нимательству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rPr>
                <w:lang w:val="ru-MO"/>
              </w:rPr>
            </w:pPr>
            <w:r w:rsidRPr="00E203F7">
              <w:rPr>
                <w:lang w:val="ru-MO"/>
              </w:rPr>
              <w:t>79000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rPr>
                <w:lang w:val="ru-MO"/>
              </w:rPr>
            </w:pPr>
            <w:r w:rsidRPr="00E203F7">
              <w:rPr>
                <w:lang w:val="ru-MO"/>
              </w:rPr>
              <w:t>МЭИ,</w:t>
            </w:r>
          </w:p>
          <w:p w:rsidR="008C2F1E" w:rsidRPr="00E203F7" w:rsidRDefault="008C2F1E" w:rsidP="008A3C50">
            <w:pPr>
              <w:pStyle w:val="NormalWeb"/>
              <w:ind w:firstLine="0"/>
              <w:rPr>
                <w:lang w:val="ru-MO"/>
              </w:rPr>
            </w:pPr>
            <w:r w:rsidRPr="00E203F7">
              <w:rPr>
                <w:lang w:val="ru-MO"/>
              </w:rPr>
              <w:t>МЗТСЗ</w:t>
            </w:r>
          </w:p>
          <w:p w:rsidR="008C2F1E" w:rsidRPr="00E203F7" w:rsidRDefault="008C2F1E" w:rsidP="008A3C50">
            <w:pPr>
              <w:pStyle w:val="NormalWeb"/>
              <w:ind w:firstLine="14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Разработанный проект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2.1.3.3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Мониторинг внедр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нормативных актов в обл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сти социального предприним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тельства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 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rPr>
                <w:lang w:val="ru-MO"/>
              </w:rPr>
            </w:pPr>
            <w:r w:rsidRPr="00E203F7">
              <w:rPr>
                <w:lang w:val="ru-MO"/>
              </w:rPr>
              <w:t>МЭИ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проведенных мон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торингов;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значимость констат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ций, заключений и применяемость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рек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мендаций;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вид и география созданных социальных предпр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ятий;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зас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даний Национальной коми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сии по социальному предпр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нимательству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2.1.3.4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Развитие социального предпринимател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ства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100000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МЭИ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периоди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ность и площадь охвата инициативами по продвижению социального предпр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нимательства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2.1.3.5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Обучающие меропри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тия для представителей органов публичной вл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сти и гражданского 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щества в области соц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ального предприним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тельства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МЭИ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пери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дичность обучающих мер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приятий;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сфера деятельности и ге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графия лиц, прошедших об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чение;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улучшенные компете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ции  в результате соответству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ю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щего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обучения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2.1.3.6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исследов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о целесообразности предоставления налог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вых льгот социальному предприн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мательству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2020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Times New Roman"/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ф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нансов,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МЭИ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Разработанное иссл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дование;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значимость констат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ций, заключений и применяемость рекомендаций по налог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вым льготам для соц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ального предприним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тельства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2.1.3.7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Оценка 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ex post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внедр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нормативных актов в обл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сти социального предпр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нимательства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rPr>
                <w:lang w:val="ru-MO"/>
              </w:rPr>
            </w:pPr>
            <w:r w:rsidRPr="00E203F7">
              <w:rPr>
                <w:lang w:val="ru-MO"/>
              </w:rPr>
              <w:t>40000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rPr>
                <w:lang w:val="ru-MO"/>
              </w:rPr>
            </w:pPr>
            <w:r w:rsidRPr="00E203F7">
              <w:rPr>
                <w:lang w:val="ru-MO"/>
              </w:rPr>
              <w:t>МЭИ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проведе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оценочных мер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приятий;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значимость констат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ций, заключений и применяемость рек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мендаций оценки</w:t>
            </w:r>
          </w:p>
        </w:tc>
      </w:tr>
      <w:tr w:rsidR="008C2F1E" w:rsidRPr="00E203F7" w:rsidTr="008A3C50">
        <w:tc>
          <w:tcPr>
            <w:tcW w:w="15310" w:type="dxa"/>
            <w:gridSpan w:val="10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Конкретная цель 2.2.</w:t>
            </w:r>
            <w:r w:rsidRPr="00E203F7">
              <w:rPr>
                <w:rFonts w:ascii="Times New Roman" w:hAnsi="Times New Roman"/>
                <w:b/>
                <w:i/>
                <w:sz w:val="24"/>
                <w:szCs w:val="24"/>
                <w:lang w:val="ru-MO"/>
              </w:rPr>
              <w:t xml:space="preserve"> 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Расширение доступа к социальному заказу и участия гражданского общества в реализации публичных политик посредством социальн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го заказа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Деятельн</w:t>
            </w:r>
            <w:r w:rsidRPr="00E203F7">
              <w:rPr>
                <w:rFonts w:eastAsia="Times New Roman"/>
                <w:bCs w:val="0"/>
                <w:lang w:val="ru-MO"/>
              </w:rPr>
              <w:t>о</w:t>
            </w:r>
            <w:r w:rsidRPr="00E203F7">
              <w:rPr>
                <w:rFonts w:eastAsia="Times New Roman"/>
                <w:bCs w:val="0"/>
                <w:lang w:val="ru-MO"/>
              </w:rPr>
              <w:t>сть</w:t>
            </w:r>
          </w:p>
        </w:tc>
        <w:tc>
          <w:tcPr>
            <w:tcW w:w="2797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Действия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  <w:t>Срок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испо</w:t>
            </w:r>
            <w:r w:rsidRPr="00E203F7">
              <w:rPr>
                <w:rFonts w:eastAsia="Times New Roman"/>
                <w:bCs w:val="0"/>
                <w:lang w:val="ru-MO"/>
              </w:rPr>
              <w:t>л</w:t>
            </w:r>
            <w:r w:rsidRPr="00E203F7">
              <w:rPr>
                <w:rFonts w:eastAsia="Times New Roman"/>
                <w:bCs w:val="0"/>
                <w:lang w:val="ru-MO"/>
              </w:rPr>
              <w:t>нения</w:t>
            </w:r>
          </w:p>
        </w:tc>
        <w:tc>
          <w:tcPr>
            <w:tcW w:w="3971" w:type="dxa"/>
            <w:gridSpan w:val="4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Источники финансир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вания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(леев</w:t>
            </w:r>
            <w:r w:rsidRPr="00E203F7">
              <w:rPr>
                <w:rFonts w:eastAsia="Times New Roman"/>
                <w:bCs w:val="0"/>
                <w:lang w:val="ru-MO"/>
              </w:rPr>
              <w:t>)</w:t>
            </w:r>
          </w:p>
        </w:tc>
        <w:tc>
          <w:tcPr>
            <w:tcW w:w="1418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Отве</w:t>
            </w:r>
            <w:r w:rsidRPr="00E203F7">
              <w:rPr>
                <w:rFonts w:eastAsia="Cambria"/>
                <w:lang w:val="ru-MO"/>
              </w:rPr>
              <w:t>т</w:t>
            </w:r>
            <w:r w:rsidRPr="00E203F7">
              <w:rPr>
                <w:rFonts w:eastAsia="Cambria"/>
                <w:lang w:val="ru-MO"/>
              </w:rPr>
              <w:t>ственные</w:t>
            </w:r>
          </w:p>
        </w:tc>
        <w:tc>
          <w:tcPr>
            <w:tcW w:w="1134" w:type="dxa"/>
            <w:vMerge w:val="restart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rFonts w:eastAsia="Times New Roman"/>
                <w:b/>
                <w:lang w:val="ru-MO"/>
              </w:rPr>
            </w:pPr>
            <w:r w:rsidRPr="00E203F7">
              <w:rPr>
                <w:rFonts w:eastAsia="Cambria"/>
                <w:b/>
                <w:lang w:val="ru-MO"/>
              </w:rPr>
              <w:t>Пар</w:t>
            </w:r>
            <w:r w:rsidRPr="00E203F7">
              <w:rPr>
                <w:rFonts w:eastAsia="Cambria"/>
                <w:b/>
                <w:lang w:val="ru-MO"/>
              </w:rPr>
              <w:t>т</w:t>
            </w:r>
            <w:r w:rsidRPr="00E203F7">
              <w:rPr>
                <w:rFonts w:eastAsia="Cambria"/>
                <w:b/>
                <w:lang w:val="ru-MO"/>
              </w:rPr>
              <w:t>неры</w:t>
            </w:r>
          </w:p>
        </w:tc>
        <w:tc>
          <w:tcPr>
            <w:tcW w:w="2693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Показатели прогре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бюджетные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иные</w:t>
            </w: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2019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2020 г.</w:t>
            </w: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2.2.1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Корректировка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ханизма прямых дог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воров ОГО в сфере обществе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услуг и работ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2.2.1.1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Проведение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исследов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о возможностях прямых договоров ОГО в сф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ре общественных услуг и работ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rPr>
                <w:lang w:val="ru-MO"/>
              </w:rPr>
            </w:pPr>
            <w:r w:rsidRPr="00E203F7">
              <w:rPr>
                <w:lang w:val="ru-MO"/>
              </w:rPr>
              <w:t>25000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rPr>
                <w:lang w:val="ru-MO"/>
              </w:rPr>
            </w:pPr>
            <w:r w:rsidRPr="00E203F7">
              <w:rPr>
                <w:lang w:val="ru-MO"/>
              </w:rPr>
              <w:t>МЗТСЗ</w:t>
            </w:r>
          </w:p>
          <w:p w:rsidR="008C2F1E" w:rsidRPr="00E203F7" w:rsidRDefault="008C2F1E" w:rsidP="008A3C50">
            <w:pPr>
              <w:pStyle w:val="NormalWeb"/>
              <w:ind w:firstLine="0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ОГО 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pStyle w:val="Default"/>
              <w:rPr>
                <w:rFonts w:eastAsia="Times New Roman"/>
                <w:color w:val="auto"/>
                <w:lang w:val="ru-MO"/>
              </w:rPr>
            </w:pPr>
            <w:r w:rsidRPr="00E203F7">
              <w:rPr>
                <w:rFonts w:eastAsia="Times New Roman"/>
                <w:color w:val="auto"/>
                <w:lang w:val="ru-MO"/>
              </w:rPr>
              <w:t>Проведенное исслед</w:t>
            </w:r>
            <w:r w:rsidRPr="00E203F7">
              <w:rPr>
                <w:rFonts w:eastAsia="Times New Roman"/>
                <w:color w:val="auto"/>
                <w:lang w:val="ru-MO"/>
              </w:rPr>
              <w:t>о</w:t>
            </w:r>
            <w:r w:rsidRPr="00E203F7">
              <w:rPr>
                <w:rFonts w:eastAsia="Times New Roman"/>
                <w:color w:val="auto"/>
                <w:lang w:val="ru-MO"/>
              </w:rPr>
              <w:t xml:space="preserve">вание; </w:t>
            </w:r>
          </w:p>
          <w:p w:rsidR="008C2F1E" w:rsidRPr="00E203F7" w:rsidRDefault="008C2F1E" w:rsidP="008A3C50">
            <w:pPr>
              <w:pStyle w:val="Default"/>
              <w:rPr>
                <w:rFonts w:eastAsia="Times New Roman"/>
                <w:color w:val="auto"/>
                <w:lang w:val="ru-MO"/>
              </w:rPr>
            </w:pPr>
            <w:r w:rsidRPr="00E203F7">
              <w:rPr>
                <w:rFonts w:eastAsia="Times New Roman"/>
                <w:color w:val="auto"/>
                <w:lang w:val="ru-MO"/>
              </w:rPr>
              <w:lastRenderedPageBreak/>
              <w:t>значимость констат</w:t>
            </w:r>
            <w:r w:rsidRPr="00E203F7">
              <w:rPr>
                <w:rFonts w:eastAsia="Times New Roman"/>
                <w:color w:val="auto"/>
                <w:lang w:val="ru-MO"/>
              </w:rPr>
              <w:t>а</w:t>
            </w:r>
            <w:r w:rsidRPr="00E203F7">
              <w:rPr>
                <w:rFonts w:eastAsia="Times New Roman"/>
                <w:color w:val="auto"/>
                <w:lang w:val="ru-MO"/>
              </w:rPr>
              <w:t>ций, заключений и применяемость рекомендаций по возмо</w:t>
            </w:r>
            <w:r w:rsidRPr="00E203F7">
              <w:rPr>
                <w:rFonts w:eastAsia="Times New Roman"/>
                <w:color w:val="auto"/>
                <w:lang w:val="ru-MO"/>
              </w:rPr>
              <w:t>ж</w:t>
            </w:r>
            <w:r w:rsidRPr="00E203F7">
              <w:rPr>
                <w:rFonts w:eastAsia="Times New Roman"/>
                <w:color w:val="auto"/>
                <w:lang w:val="ru-MO"/>
              </w:rPr>
              <w:t>ностям прямых догов</w:t>
            </w:r>
            <w:r w:rsidRPr="00E203F7">
              <w:rPr>
                <w:rFonts w:eastAsia="Times New Roman"/>
                <w:color w:val="auto"/>
                <w:lang w:val="ru-MO"/>
              </w:rPr>
              <w:t>о</w:t>
            </w:r>
            <w:r w:rsidRPr="00E203F7">
              <w:rPr>
                <w:rFonts w:eastAsia="Times New Roman"/>
                <w:color w:val="auto"/>
                <w:lang w:val="ru-MO"/>
              </w:rPr>
              <w:t>ров ОГО в сфере общественных у</w:t>
            </w:r>
            <w:r w:rsidRPr="00E203F7">
              <w:rPr>
                <w:rFonts w:eastAsia="Times New Roman"/>
                <w:color w:val="auto"/>
                <w:lang w:val="ru-MO"/>
              </w:rPr>
              <w:t>с</w:t>
            </w:r>
            <w:r w:rsidRPr="00E203F7">
              <w:rPr>
                <w:rFonts w:eastAsia="Times New Roman"/>
                <w:color w:val="auto"/>
                <w:lang w:val="ru-MO"/>
              </w:rPr>
              <w:t xml:space="preserve">луг и работ 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2.2.1.2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измен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ний в Закон об аккредитации поставщиков социал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ных услуг № 129/2012 и Закон о социальных услугах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№ 123/2010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Times New Roman"/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МЗТСЗ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преобр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зовательный поте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циал изменений, внесе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ных/утвержденных в Закон об аккредитации поставщиков социал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услуг и Закон о социал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услугах, гарантир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ющих доступ ОГО к публичным ф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нансам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2.2.1.3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Продвижение мех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низма закупки соц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альных услуг,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доставляемых ОГО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 2020 гг.</w:t>
            </w:r>
          </w:p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rPr>
                <w:lang w:val="ru-MO"/>
              </w:rPr>
            </w:pPr>
            <w:r w:rsidRPr="00E203F7">
              <w:rPr>
                <w:lang w:val="ru-MO"/>
              </w:rPr>
              <w:t>МЗТСЗ</w:t>
            </w:r>
          </w:p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периоди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ность выдвижения и представительность инициатив по продв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жению механизма 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купки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2.2.1.4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Мониторинг вовл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чения ОГО в процесс госуда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ственных закупок и еж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годные оценки </w:t>
            </w:r>
            <w:r w:rsidRPr="00E203F7">
              <w:rPr>
                <w:rFonts w:ascii="Times New Roman" w:hAnsi="Times New Roman"/>
                <w:i/>
                <w:sz w:val="24"/>
                <w:szCs w:val="24"/>
              </w:rPr>
              <w:t>ex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203F7">
              <w:rPr>
                <w:rFonts w:ascii="Times New Roman" w:hAnsi="Times New Roman"/>
                <w:i/>
                <w:sz w:val="24"/>
                <w:szCs w:val="24"/>
              </w:rPr>
              <w:t>post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о внедрении соответств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ющих политик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 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40000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МЗТСЗ,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Агентство по гос</w:t>
            </w:r>
            <w:r w:rsidRPr="00E203F7">
              <w:rPr>
                <w:lang w:val="ru-MO"/>
              </w:rPr>
              <w:t>у</w:t>
            </w:r>
            <w:r w:rsidRPr="00E203F7">
              <w:rPr>
                <w:lang w:val="ru-MO"/>
              </w:rPr>
              <w:t>дарственным заку</w:t>
            </w:r>
            <w:r w:rsidRPr="00E203F7">
              <w:rPr>
                <w:lang w:val="ru-MO"/>
              </w:rPr>
              <w:t>п</w:t>
            </w:r>
            <w:r w:rsidRPr="00E203F7">
              <w:rPr>
                <w:lang w:val="ru-MO"/>
              </w:rPr>
              <w:t>кам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монит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рингов и проведенные оценочные меропри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тия;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значимость констат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ций, заключений и применяемость рек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мендаций монитори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га и оценки 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2.2.2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Обучение, а та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же продвижение лучших практик в области соц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ального заказа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2.2.2.1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Обучение представит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лей органов публичной власти, занимающихся внедрением соц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ального заказа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 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МЗТСЗ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пери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дичность организова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обучающих мер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приятий;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сфера деятельности, пол, село/город, вид учрежд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и география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шедших обуч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ние лиц;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улучшенные компете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ции в сфере социальн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го заказа в результате об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чения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2.2.2.2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Организация меропри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тий по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продвижению лучших практик и прямых догов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ров ОГО в сфере социал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ных услуг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2018– 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МЗТСЗ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разнообр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зие и география пров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денных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меропри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тий;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вовлече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и проинформир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ванных лиц с разбивкой по полу, 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лу/городу, языку и др. </w:t>
            </w:r>
          </w:p>
        </w:tc>
      </w:tr>
      <w:tr w:rsidR="008C2F1E" w:rsidRPr="00E203F7" w:rsidTr="008A3C50">
        <w:tc>
          <w:tcPr>
            <w:tcW w:w="15310" w:type="dxa"/>
            <w:gridSpan w:val="10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lastRenderedPageBreak/>
              <w:t>Конкретная цель 2.3.</w:t>
            </w:r>
            <w:r w:rsidRPr="00E203F7">
              <w:rPr>
                <w:rFonts w:ascii="Times New Roman" w:hAnsi="Times New Roman"/>
                <w:b/>
                <w:i/>
                <w:sz w:val="24"/>
                <w:szCs w:val="24"/>
                <w:lang w:val="ru-MO"/>
              </w:rPr>
              <w:t xml:space="preserve"> 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Создание механизмов государственной поддержки ОГО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Деятельн</w:t>
            </w:r>
            <w:r w:rsidRPr="00E203F7">
              <w:rPr>
                <w:rFonts w:eastAsia="Times New Roman"/>
                <w:bCs w:val="0"/>
                <w:lang w:val="ru-MO"/>
              </w:rPr>
              <w:t>о</w:t>
            </w:r>
            <w:r w:rsidRPr="00E203F7">
              <w:rPr>
                <w:rFonts w:eastAsia="Times New Roman"/>
                <w:bCs w:val="0"/>
                <w:lang w:val="ru-MO"/>
              </w:rPr>
              <w:t>сть</w:t>
            </w:r>
          </w:p>
        </w:tc>
        <w:tc>
          <w:tcPr>
            <w:tcW w:w="2797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Действия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  <w:t>Срок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испо</w:t>
            </w:r>
            <w:r w:rsidRPr="00E203F7">
              <w:rPr>
                <w:rFonts w:eastAsia="Times New Roman"/>
                <w:bCs w:val="0"/>
                <w:lang w:val="ru-MO"/>
              </w:rPr>
              <w:t>л</w:t>
            </w:r>
            <w:r w:rsidRPr="00E203F7">
              <w:rPr>
                <w:rFonts w:eastAsia="Times New Roman"/>
                <w:bCs w:val="0"/>
                <w:lang w:val="ru-MO"/>
              </w:rPr>
              <w:t>нения</w:t>
            </w:r>
          </w:p>
        </w:tc>
        <w:tc>
          <w:tcPr>
            <w:tcW w:w="3971" w:type="dxa"/>
            <w:gridSpan w:val="4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Источники финансир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вания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(леев</w:t>
            </w:r>
            <w:r w:rsidRPr="00E203F7">
              <w:rPr>
                <w:rFonts w:eastAsia="Times New Roman"/>
                <w:bCs w:val="0"/>
                <w:lang w:val="ru-MO"/>
              </w:rPr>
              <w:t>)</w:t>
            </w:r>
          </w:p>
        </w:tc>
        <w:tc>
          <w:tcPr>
            <w:tcW w:w="1418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Отве</w:t>
            </w:r>
            <w:r w:rsidRPr="00E203F7">
              <w:rPr>
                <w:rFonts w:eastAsia="Cambria"/>
                <w:lang w:val="ru-MO"/>
              </w:rPr>
              <w:t>т</w:t>
            </w:r>
            <w:r w:rsidRPr="00E203F7">
              <w:rPr>
                <w:rFonts w:eastAsia="Cambria"/>
                <w:lang w:val="ru-MO"/>
              </w:rPr>
              <w:t>ственные</w:t>
            </w:r>
          </w:p>
        </w:tc>
        <w:tc>
          <w:tcPr>
            <w:tcW w:w="1134" w:type="dxa"/>
            <w:vMerge w:val="restart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rFonts w:eastAsia="Times New Roman"/>
                <w:b/>
                <w:lang w:val="ru-MO"/>
              </w:rPr>
            </w:pPr>
            <w:r w:rsidRPr="00E203F7">
              <w:rPr>
                <w:rFonts w:eastAsia="Cambria"/>
                <w:b/>
                <w:lang w:val="ru-MO"/>
              </w:rPr>
              <w:t>Пар</w:t>
            </w:r>
            <w:r w:rsidRPr="00E203F7">
              <w:rPr>
                <w:rFonts w:eastAsia="Cambria"/>
                <w:b/>
                <w:lang w:val="ru-MO"/>
              </w:rPr>
              <w:t>т</w:t>
            </w:r>
            <w:r w:rsidRPr="00E203F7">
              <w:rPr>
                <w:rFonts w:eastAsia="Cambria"/>
                <w:b/>
                <w:lang w:val="ru-MO"/>
              </w:rPr>
              <w:t>неры</w:t>
            </w:r>
          </w:p>
        </w:tc>
        <w:tc>
          <w:tcPr>
            <w:tcW w:w="2693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Показатели прогре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бюджетные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иные</w:t>
            </w: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2019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2020 г.</w:t>
            </w: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2.3.1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Обеспечение доступа ОГО к пу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личным фондам и программам публичного финанс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рования путем ра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ширения и/или совершенствов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существующих механизмов и выявл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дополнительных 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струментов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2.3.1.1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рекоменд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 по механизмам и програ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мам публичного финанс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рования ОГО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2019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Госуда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ственная канцел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рия/ССГО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Разработанные рек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о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мендации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2.3.1.2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рекоменд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 по практике финансирования 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стных ОГО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2019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Госуда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ственная канцел</w:t>
            </w:r>
            <w:r w:rsidRPr="00E203F7">
              <w:rPr>
                <w:lang w:val="ru-MO"/>
              </w:rPr>
              <w:t>я</w:t>
            </w:r>
            <w:r w:rsidRPr="00E203F7">
              <w:rPr>
                <w:lang w:val="ru-MO"/>
              </w:rPr>
              <w:t>рия/ССГО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Разработанные рек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мендации 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2.3.1.3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изменений в но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мативную базу для внедрения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рекоменд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 вследствие действий 2.3.1.1 и 2.3.1.2 и разр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ботка пояснительной 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писки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2018–2019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ф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нансов,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МЗТСЗ,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lastRenderedPageBreak/>
              <w:t>МСХРРОС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потенц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альные эффекты разр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ботанных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изменений в нормати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ную базу;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разработанная пояснительная 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писка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2.3.1.4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Рассмотрение и прин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тие изменений в норм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тивную базу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2018–2019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Парл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мент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потенц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альные эффекты прин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тых изменений в но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мативную базу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2.3.1.5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Определение практик нефинансовой поддер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ки ОГО со стороны го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ударства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2019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Госуда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ственная ка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целярия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Определенные практ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ки;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разработанные рек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мендации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2.3.1.6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Внесение изменений и дополнений в нормати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ную базу по поддержке ОГО со стороны гос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дарства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2019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Министе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ство ф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нансов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потенц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альные эффекты прин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тых изменений в но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мативную базу по поддержке ОГО со стороны гос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дарства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2.3.2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Развитие механи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мов стимулиров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ния и вовлечения ОГО и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населения в обеспечение соблюдения закон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дательства и выявления наруш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ний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2.3.2.1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Изучение междунаро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практик в соответству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ю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щей сфере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2018–2019 гг.</w:t>
            </w:r>
          </w:p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ССГО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Международные пра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тики изучены и разработаны рек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мендации 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2.3.2.2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Корректировка норм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тивной базы в целях стимулирования вовл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чения ОГО и населения в обеспечение соблюдения законодател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ства и выявления наруш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ний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2018–2019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 xml:space="preserve">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юст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ции,</w:t>
            </w:r>
          </w:p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Парл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мент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Изменения и дополн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в нормативную базу внесены и стимулируют 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влечение ОГО и населения в обеспечение соблюд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законодател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ства и выявления нар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шений</w:t>
            </w:r>
          </w:p>
        </w:tc>
      </w:tr>
      <w:tr w:rsidR="008C2F1E" w:rsidRPr="00E203F7" w:rsidTr="008A3C50">
        <w:tc>
          <w:tcPr>
            <w:tcW w:w="2305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2.3.3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Информиров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ние и обучение предст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вителей ОГО в 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ласти стандартов бухгалтерского учета и применяемого нал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гового режима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2.3.3.1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Информирование пре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ставителей ОГО, в том числе на местном уровне, о бу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х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галтерском учете и  налоговом режиме, применя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мых 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для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ОГО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rPr>
                <w:lang w:val="ru-MO"/>
              </w:rPr>
            </w:pPr>
            <w:r w:rsidRPr="00E203F7">
              <w:rPr>
                <w:lang w:val="ru-MO"/>
              </w:rPr>
              <w:t>25000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rPr>
                <w:lang w:val="ru-MO"/>
              </w:rPr>
            </w:pPr>
            <w:r w:rsidRPr="00E203F7">
              <w:rPr>
                <w:lang w:val="ru-MO"/>
              </w:rPr>
              <w:t>Госуда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ственная н</w:t>
            </w:r>
            <w:r w:rsidRPr="00E203F7">
              <w:rPr>
                <w:lang w:val="ru-MO"/>
              </w:rPr>
              <w:t>а</w:t>
            </w:r>
            <w:r w:rsidRPr="00E203F7">
              <w:rPr>
                <w:lang w:val="ru-MO"/>
              </w:rPr>
              <w:t>логовая служба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разноо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разие разработанных и размещенных инфо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мационных матери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лов;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пери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дичность проведенных обучающих меропри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тий;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сфера деятельности, пол, село/город и геогр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фия лиц, прошедших об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чение</w:t>
            </w:r>
          </w:p>
        </w:tc>
      </w:tr>
      <w:tr w:rsidR="008C2F1E" w:rsidRPr="00E203F7" w:rsidTr="008A3C50">
        <w:tc>
          <w:tcPr>
            <w:tcW w:w="15310" w:type="dxa"/>
            <w:gridSpan w:val="10"/>
          </w:tcPr>
          <w:p w:rsidR="008C2F1E" w:rsidRPr="00E203F7" w:rsidRDefault="008C2F1E" w:rsidP="008A3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 xml:space="preserve">Конкретная цель </w:t>
            </w:r>
            <w:r w:rsidRPr="00E203F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MO"/>
              </w:rPr>
              <w:t>2.4.</w:t>
            </w:r>
            <w:r w:rsidRPr="00E203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  <w:t xml:space="preserve"> 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Совершенствование налогового законодательства, применяемого по отношению к организациям гра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данского общества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lastRenderedPageBreak/>
              <w:t>Деятельн</w:t>
            </w:r>
            <w:r w:rsidRPr="00E203F7">
              <w:rPr>
                <w:rFonts w:eastAsia="Times New Roman"/>
                <w:bCs w:val="0"/>
                <w:lang w:val="ru-MO"/>
              </w:rPr>
              <w:t>о</w:t>
            </w:r>
            <w:r w:rsidRPr="00E203F7">
              <w:rPr>
                <w:rFonts w:eastAsia="Times New Roman"/>
                <w:bCs w:val="0"/>
                <w:lang w:val="ru-MO"/>
              </w:rPr>
              <w:t>сть</w:t>
            </w:r>
          </w:p>
        </w:tc>
        <w:tc>
          <w:tcPr>
            <w:tcW w:w="2797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Действия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  <w:t>Срок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испо</w:t>
            </w:r>
            <w:r w:rsidRPr="00E203F7">
              <w:rPr>
                <w:rFonts w:eastAsia="Times New Roman"/>
                <w:bCs w:val="0"/>
                <w:lang w:val="ru-MO"/>
              </w:rPr>
              <w:t>л</w:t>
            </w:r>
            <w:r w:rsidRPr="00E203F7">
              <w:rPr>
                <w:rFonts w:eastAsia="Times New Roman"/>
                <w:bCs w:val="0"/>
                <w:lang w:val="ru-MO"/>
              </w:rPr>
              <w:t>нения</w:t>
            </w:r>
          </w:p>
        </w:tc>
        <w:tc>
          <w:tcPr>
            <w:tcW w:w="3971" w:type="dxa"/>
            <w:gridSpan w:val="4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Источники финансир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вания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(леев</w:t>
            </w:r>
            <w:r w:rsidRPr="00E203F7">
              <w:rPr>
                <w:rFonts w:eastAsia="Times New Roman"/>
                <w:bCs w:val="0"/>
                <w:lang w:val="ru-MO"/>
              </w:rPr>
              <w:t>)</w:t>
            </w:r>
          </w:p>
        </w:tc>
        <w:tc>
          <w:tcPr>
            <w:tcW w:w="1418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Отве</w:t>
            </w:r>
            <w:r w:rsidRPr="00E203F7">
              <w:rPr>
                <w:rFonts w:eastAsia="Cambria"/>
                <w:lang w:val="ru-MO"/>
              </w:rPr>
              <w:t>т</w:t>
            </w:r>
            <w:r w:rsidRPr="00E203F7">
              <w:rPr>
                <w:rFonts w:eastAsia="Cambria"/>
                <w:lang w:val="ru-MO"/>
              </w:rPr>
              <w:t>ственные</w:t>
            </w:r>
          </w:p>
        </w:tc>
        <w:tc>
          <w:tcPr>
            <w:tcW w:w="1134" w:type="dxa"/>
            <w:vMerge w:val="restart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rFonts w:eastAsia="Times New Roman"/>
                <w:b/>
                <w:lang w:val="ru-MO"/>
              </w:rPr>
            </w:pPr>
            <w:r w:rsidRPr="00E203F7">
              <w:rPr>
                <w:rFonts w:eastAsia="Cambria"/>
                <w:b/>
                <w:lang w:val="ru-MO"/>
              </w:rPr>
              <w:t>Пар</w:t>
            </w:r>
            <w:r w:rsidRPr="00E203F7">
              <w:rPr>
                <w:rFonts w:eastAsia="Cambria"/>
                <w:b/>
                <w:lang w:val="ru-MO"/>
              </w:rPr>
              <w:t>т</w:t>
            </w:r>
            <w:r w:rsidRPr="00E203F7">
              <w:rPr>
                <w:rFonts w:eastAsia="Cambria"/>
                <w:b/>
                <w:lang w:val="ru-MO"/>
              </w:rPr>
              <w:t>неры</w:t>
            </w:r>
          </w:p>
        </w:tc>
        <w:tc>
          <w:tcPr>
            <w:tcW w:w="2693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Показатели прогре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бюджетные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иные</w:t>
            </w: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2019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2020 г.</w:t>
            </w: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MO"/>
              </w:rPr>
              <w:t xml:space="preserve">2.4.1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Совершенств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вание  и объединение в отдельную главу Налогового 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декса всех положений о под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ходном налоге,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меняемом для неко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мерческих организ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2.4.1.1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отдельной главы в Налоговом 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дексе, объединяющей все положения, регулирующие п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доходный налог для некоммерч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ских организаций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2019– 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ф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нансов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Del="00BC3FA0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Разработанные и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нятые дополнения в Нал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говый кодекс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2.4.1.2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Регулирование налог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вых обязательств некоммерческих организ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 на основании дог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воров об оказ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нии услуг резидентам и нерезиде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там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2019– 2020 гг.</w:t>
            </w: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ф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нансов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Del="00BC3FA0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Разработанные и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нятые изменения в Налоговый кодекс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2.4.1.3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Изучение возможн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стей корректировки норм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тивной базы для вкл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ю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чения разрешительных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полож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ний о вычитании командировочных ра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ходов волонтеров и принятия соотве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ствующих поправок в нормативную базу о 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лонтерстве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2018– 2019 гг.</w:t>
            </w: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ф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нансов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Разработанное иссл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дование;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разработанные и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нятые изменения в нормативные акты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2.4.2.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Совершенств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вание налогового закон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дательства в обл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сти НДС 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для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ОГО 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статусом орган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зации обществе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ной пользы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2.4.2.1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Анализ целесообразн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сти предоставления освобо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дения от НДС организациям гражда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ского общества со ст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тусом организации общественной пол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зы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ф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нансов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Проведенный анализ и разработанные рек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мендации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2.4.2.2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Внесение изменений, при необходимости, в Налоговый кодекс с 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лью предоставления освобождения от НДС ОГО со статусом общ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ственной пользы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 2019 гг.</w:t>
            </w: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Парламент,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ф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нансов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</w:tcPr>
          <w:p w:rsidR="008C2F1E" w:rsidRPr="00E203F7" w:rsidDel="00BC3FA0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Разработанные и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нятые изменения в Налоговый кодекс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2.4.2.3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Вычитание из сто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мости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поставок, облагаемых НДС, сопутствующих ра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ходов (транспорт, прож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вание, питание) в случае договоров об оказании услуг лицами – резидентами и нерез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дентами некоммерч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ским организ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циям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2018– 2019 гг.</w:t>
            </w: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Del="00BC3FA0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 xml:space="preserve">ство </w:t>
            </w:r>
            <w:r w:rsidRPr="00E203F7">
              <w:rPr>
                <w:lang w:val="ru-MO"/>
              </w:rPr>
              <w:lastRenderedPageBreak/>
              <w:t>ф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нансов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ОГО</w:t>
            </w:r>
          </w:p>
        </w:tc>
        <w:tc>
          <w:tcPr>
            <w:tcW w:w="2693" w:type="dxa"/>
          </w:tcPr>
          <w:p w:rsidR="008C2F1E" w:rsidRPr="00E203F7" w:rsidDel="00BC3FA0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Разработанные и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нятые изменения в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Налоговый 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декс</w:t>
            </w:r>
          </w:p>
        </w:tc>
      </w:tr>
      <w:tr w:rsidR="008C2F1E" w:rsidRPr="00E203F7" w:rsidTr="008A3C50">
        <w:tc>
          <w:tcPr>
            <w:tcW w:w="15310" w:type="dxa"/>
            <w:gridSpan w:val="10"/>
            <w:shd w:val="clear" w:color="auto" w:fill="auto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Общая цель 3.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Развитие активной гражданской позиции и волонтерства</w:t>
            </w:r>
          </w:p>
        </w:tc>
      </w:tr>
      <w:tr w:rsidR="008C2F1E" w:rsidRPr="00E203F7" w:rsidTr="008A3C50">
        <w:tc>
          <w:tcPr>
            <w:tcW w:w="15310" w:type="dxa"/>
            <w:gridSpan w:val="10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Конкретная цель 3.1.</w:t>
            </w:r>
            <w:r w:rsidRPr="00E203F7">
              <w:rPr>
                <w:rFonts w:ascii="Times New Roman" w:hAnsi="Times New Roman"/>
                <w:b/>
                <w:i/>
                <w:sz w:val="24"/>
                <w:szCs w:val="24"/>
                <w:lang w:val="ru-MO"/>
              </w:rPr>
              <w:t xml:space="preserve"> 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Приведение основной и смежной нормативной базы в соответствие с европейскими рекомендациями, Законом о волонте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 xml:space="preserve">стве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№ 121/2010, Положением о применении Закона о волонтерстве № 121 от 18 июня 2010 года, утве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t>жденного Постановлением Правительства № 158/2012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Деятельн</w:t>
            </w:r>
            <w:r w:rsidRPr="00E203F7">
              <w:rPr>
                <w:rFonts w:eastAsia="Times New Roman"/>
                <w:bCs w:val="0"/>
                <w:lang w:val="ru-MO"/>
              </w:rPr>
              <w:t>о</w:t>
            </w:r>
            <w:r w:rsidRPr="00E203F7">
              <w:rPr>
                <w:rFonts w:eastAsia="Times New Roman"/>
                <w:bCs w:val="0"/>
                <w:lang w:val="ru-MO"/>
              </w:rPr>
              <w:t>сть</w:t>
            </w:r>
          </w:p>
        </w:tc>
        <w:tc>
          <w:tcPr>
            <w:tcW w:w="2797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Действия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  <w:t>Срок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испо</w:t>
            </w:r>
            <w:r w:rsidRPr="00E203F7">
              <w:rPr>
                <w:rFonts w:eastAsia="Times New Roman"/>
                <w:bCs w:val="0"/>
                <w:lang w:val="ru-MO"/>
              </w:rPr>
              <w:t>л</w:t>
            </w:r>
            <w:r w:rsidRPr="00E203F7">
              <w:rPr>
                <w:rFonts w:eastAsia="Times New Roman"/>
                <w:bCs w:val="0"/>
                <w:lang w:val="ru-MO"/>
              </w:rPr>
              <w:t>нения</w:t>
            </w:r>
          </w:p>
        </w:tc>
        <w:tc>
          <w:tcPr>
            <w:tcW w:w="3971" w:type="dxa"/>
            <w:gridSpan w:val="4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Источники финансир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вания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(леев</w:t>
            </w:r>
            <w:r w:rsidRPr="00E203F7">
              <w:rPr>
                <w:rFonts w:eastAsia="Times New Roman"/>
                <w:bCs w:val="0"/>
                <w:lang w:val="ru-MO"/>
              </w:rPr>
              <w:t>)</w:t>
            </w:r>
          </w:p>
        </w:tc>
        <w:tc>
          <w:tcPr>
            <w:tcW w:w="1418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Отве</w:t>
            </w:r>
            <w:r w:rsidRPr="00E203F7">
              <w:rPr>
                <w:rFonts w:eastAsia="Cambria"/>
                <w:lang w:val="ru-MO"/>
              </w:rPr>
              <w:t>т</w:t>
            </w:r>
            <w:r w:rsidRPr="00E203F7">
              <w:rPr>
                <w:rFonts w:eastAsia="Cambria"/>
                <w:lang w:val="ru-MO"/>
              </w:rPr>
              <w:t>ственные</w:t>
            </w:r>
          </w:p>
        </w:tc>
        <w:tc>
          <w:tcPr>
            <w:tcW w:w="1134" w:type="dxa"/>
            <w:vMerge w:val="restart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rFonts w:eastAsia="Times New Roman"/>
                <w:b/>
                <w:lang w:val="ru-MO"/>
              </w:rPr>
            </w:pPr>
            <w:r w:rsidRPr="00E203F7">
              <w:rPr>
                <w:rFonts w:eastAsia="Cambria"/>
                <w:b/>
                <w:lang w:val="ru-MO"/>
              </w:rPr>
              <w:t>Пар</w:t>
            </w:r>
            <w:r w:rsidRPr="00E203F7">
              <w:rPr>
                <w:rFonts w:eastAsia="Cambria"/>
                <w:b/>
                <w:lang w:val="ru-MO"/>
              </w:rPr>
              <w:t>т</w:t>
            </w:r>
            <w:r w:rsidRPr="00E203F7">
              <w:rPr>
                <w:rFonts w:eastAsia="Cambria"/>
                <w:b/>
                <w:lang w:val="ru-MO"/>
              </w:rPr>
              <w:t>неры</w:t>
            </w:r>
          </w:p>
        </w:tc>
        <w:tc>
          <w:tcPr>
            <w:tcW w:w="2693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Показатели прогре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бюджетные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иные</w:t>
            </w: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2019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2020 г.</w:t>
            </w: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3.1.1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Приведение основной норм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тивной базы в соответствие с евр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пейскими стандартами в области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терства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3.1.1.1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Дополнение Закона о волонтерстве, включая положения о Наци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нальном волонтерском центре Молдовы и 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миссии по сертификации организаций,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привлек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ющих волонтеров, с ук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занием их полн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мочий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 г.</w:t>
            </w:r>
            <w:r w:rsidRPr="00E203F7">
              <w:rPr>
                <w:rFonts w:ascii="Times New Roman" w:hAnsi="Times New Roman"/>
                <w:strike/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strike/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Парл</w:t>
            </w:r>
            <w:r w:rsidRPr="00E203F7">
              <w:rPr>
                <w:lang w:val="ru-MO"/>
              </w:rPr>
              <w:t>а</w:t>
            </w:r>
            <w:r w:rsidRPr="00E203F7">
              <w:rPr>
                <w:lang w:val="ru-MO"/>
              </w:rPr>
              <w:t>мент,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Госуда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ственная канцел</w:t>
            </w:r>
            <w:r w:rsidRPr="00E203F7">
              <w:rPr>
                <w:lang w:val="ru-MO"/>
              </w:rPr>
              <w:t>я</w:t>
            </w:r>
            <w:r w:rsidRPr="00E203F7">
              <w:rPr>
                <w:lang w:val="ru-MO"/>
              </w:rPr>
              <w:t xml:space="preserve">рия, 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</w:t>
            </w:r>
            <w:r w:rsidRPr="00E203F7">
              <w:rPr>
                <w:lang w:val="ru-MO"/>
              </w:rPr>
              <w:t>О</w:t>
            </w:r>
            <w:r w:rsidRPr="00E203F7">
              <w:rPr>
                <w:lang w:val="ru-MO"/>
              </w:rPr>
              <w:t>КИ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strike/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ВК,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 Закон о волонтерс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ве внесены дополн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полномочия НВЦМ и КСОПВ опред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лены;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потенц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альные эффекты мер по стимулированию 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лонтерства, в том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числе для пожилых лиц и других социальных 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тегорий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3.1.1.2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Приведение Пол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жения о применении Закона о волонтерстве в соотве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ствие с внесенными п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правками  и положени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ми отраслевых мин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сте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рств с ц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елью отвед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им обязанн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стей в сфере волонтерства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Правител</w:t>
            </w:r>
            <w:r w:rsidRPr="00E203F7">
              <w:rPr>
                <w:lang w:val="ru-MO"/>
              </w:rPr>
              <w:t>ь</w:t>
            </w:r>
            <w:r w:rsidRPr="00E203F7">
              <w:rPr>
                <w:lang w:val="ru-MO"/>
              </w:rPr>
              <w:t>ство,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отраслевые 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ства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strike/>
                <w:lang w:val="ru-MO"/>
              </w:rPr>
            </w:pPr>
          </w:p>
          <w:p w:rsidR="008C2F1E" w:rsidRPr="00E203F7" w:rsidRDefault="008C2F1E" w:rsidP="008A3C50">
            <w:pPr>
              <w:pStyle w:val="NormalWeb"/>
              <w:jc w:val="left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ВК,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потенц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альные эффекты изм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нений, внесенных в соответствующие п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ложения 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3.1.2                             Создание необходимых мех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низмов и приведение смежной нормати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ной базы в соотве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ствие с европе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й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скими рекоменд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циями, а также с  Законом о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терстве № 121/2010 и Положением о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применении 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кона о волонтерстве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№ 121от 18 июня 2010 года, утве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жденного Пост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новлением Прав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тельства № 158/2012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3.1.2.1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механи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мов и онлайн фо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муляра для сбора статистических да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ных о 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формальном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терстве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2018–2019 гг. 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МЗТСЗ,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</w:t>
            </w:r>
            <w:r w:rsidRPr="00E203F7">
              <w:rPr>
                <w:lang w:val="ru-MO"/>
              </w:rPr>
              <w:t>О</w:t>
            </w:r>
            <w:r w:rsidRPr="00E203F7">
              <w:rPr>
                <w:lang w:val="ru-MO"/>
              </w:rPr>
              <w:t>КИ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 w:eastAsia="ru-RU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КСОПВ, НВЦМ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Механизм и онлайн-формуляр для сбора ст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тистических данных ра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работан;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геогр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фия и сферы деятельности организаций, привл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кающих волонтеров, кот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рые применяют 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разработанный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лайн-формуляр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3.1.2.2 </w:t>
            </w:r>
          </w:p>
          <w:p w:rsidR="008C2F1E" w:rsidRPr="00E203F7" w:rsidRDefault="008C2F1E" w:rsidP="008A3C50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Принятие концепции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развития волонте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ства как формы неоплачиваемого тр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да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2018–2019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>МЗТСЗ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 w:eastAsia="ru-RU"/>
              </w:rPr>
            </w:pP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Концепция развития волонтерства как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формы неоплачиваем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го труда разраб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тана и принята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3.1.2.3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Корректировка норм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тивной базы занятости населения с целью 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влечения безработных и получателей соц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альной помощи в волонтерскую деятел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ность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МЗТСЗ,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НАЗН,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юст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 xml:space="preserve">ции 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Проект нормати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ного акта разработан и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нят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3.1.2.4 </w:t>
            </w:r>
          </w:p>
          <w:p w:rsidR="008C2F1E" w:rsidRPr="00E203F7" w:rsidRDefault="008C2F1E" w:rsidP="008A3C50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Принятие Кодекса этики волонтера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2018–2019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Парл</w:t>
            </w:r>
            <w:r w:rsidRPr="00E203F7">
              <w:rPr>
                <w:lang w:val="ru-MO"/>
              </w:rPr>
              <w:t>а</w:t>
            </w:r>
            <w:r w:rsidRPr="00E203F7">
              <w:rPr>
                <w:lang w:val="ru-MO"/>
              </w:rPr>
              <w:t>мент,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НВЦМ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Принятый кодекс этики волонтера;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функциональность Кодекса этики 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лонтера</w:t>
            </w:r>
          </w:p>
        </w:tc>
      </w:tr>
      <w:tr w:rsidR="008C2F1E" w:rsidRPr="00E203F7" w:rsidTr="008A3C50">
        <w:tc>
          <w:tcPr>
            <w:tcW w:w="15310" w:type="dxa"/>
            <w:gridSpan w:val="10"/>
          </w:tcPr>
          <w:p w:rsidR="008C2F1E" w:rsidRPr="00E203F7" w:rsidRDefault="008C2F1E" w:rsidP="008A3C50">
            <w:pPr>
              <w:pStyle w:val="Default"/>
              <w:jc w:val="both"/>
              <w:rPr>
                <w:rFonts w:eastAsia="Times New Roman"/>
                <w:b/>
                <w:i/>
                <w:color w:val="auto"/>
                <w:lang w:val="ru-MO"/>
              </w:rPr>
            </w:pPr>
            <w:r w:rsidRPr="00E203F7">
              <w:rPr>
                <w:rFonts w:eastAsia="Times New Roman"/>
                <w:i/>
                <w:color w:val="auto"/>
                <w:lang w:val="ru-MO"/>
              </w:rPr>
              <w:t>Конкретная цель 3.2.</w:t>
            </w:r>
            <w:r w:rsidRPr="00E203F7">
              <w:rPr>
                <w:rFonts w:eastAsia="Times New Roman"/>
                <w:b/>
                <w:i/>
                <w:color w:val="auto"/>
                <w:lang w:val="ru-MO"/>
              </w:rPr>
              <w:t xml:space="preserve"> </w:t>
            </w:r>
            <w:r w:rsidRPr="00E203F7">
              <w:rPr>
                <w:rFonts w:eastAsia="Times New Roman"/>
                <w:i/>
                <w:color w:val="auto"/>
                <w:lang w:val="ru-MO"/>
              </w:rPr>
              <w:t>Развитие волонтерства посредством национальных структур инфраструктуры волонтерства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Деятельн</w:t>
            </w:r>
            <w:r w:rsidRPr="00E203F7">
              <w:rPr>
                <w:rFonts w:eastAsia="Times New Roman"/>
                <w:bCs w:val="0"/>
                <w:lang w:val="ru-MO"/>
              </w:rPr>
              <w:t>о</w:t>
            </w:r>
            <w:r w:rsidRPr="00E203F7">
              <w:rPr>
                <w:rFonts w:eastAsia="Times New Roman"/>
                <w:bCs w:val="0"/>
                <w:lang w:val="ru-MO"/>
              </w:rPr>
              <w:t>сть</w:t>
            </w:r>
          </w:p>
        </w:tc>
        <w:tc>
          <w:tcPr>
            <w:tcW w:w="2797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Действия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  <w:t>Срок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испо</w:t>
            </w:r>
            <w:r w:rsidRPr="00E203F7">
              <w:rPr>
                <w:rFonts w:eastAsia="Times New Roman"/>
                <w:bCs w:val="0"/>
                <w:lang w:val="ru-MO"/>
              </w:rPr>
              <w:t>л</w:t>
            </w:r>
            <w:r w:rsidRPr="00E203F7">
              <w:rPr>
                <w:rFonts w:eastAsia="Times New Roman"/>
                <w:bCs w:val="0"/>
                <w:lang w:val="ru-MO"/>
              </w:rPr>
              <w:t>нения</w:t>
            </w:r>
          </w:p>
        </w:tc>
        <w:tc>
          <w:tcPr>
            <w:tcW w:w="3971" w:type="dxa"/>
            <w:gridSpan w:val="4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Источники финансир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вания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(леев</w:t>
            </w:r>
            <w:r w:rsidRPr="00E203F7">
              <w:rPr>
                <w:rFonts w:eastAsia="Times New Roman"/>
                <w:bCs w:val="0"/>
                <w:lang w:val="ru-MO"/>
              </w:rPr>
              <w:t>)</w:t>
            </w:r>
          </w:p>
        </w:tc>
        <w:tc>
          <w:tcPr>
            <w:tcW w:w="1418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Отве</w:t>
            </w:r>
            <w:r w:rsidRPr="00E203F7">
              <w:rPr>
                <w:rFonts w:eastAsia="Cambria"/>
                <w:lang w:val="ru-MO"/>
              </w:rPr>
              <w:t>т</w:t>
            </w:r>
            <w:r w:rsidRPr="00E203F7">
              <w:rPr>
                <w:rFonts w:eastAsia="Cambria"/>
                <w:lang w:val="ru-MO"/>
              </w:rPr>
              <w:t>ственные</w:t>
            </w:r>
          </w:p>
        </w:tc>
        <w:tc>
          <w:tcPr>
            <w:tcW w:w="1134" w:type="dxa"/>
            <w:vMerge w:val="restart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rFonts w:eastAsia="Times New Roman"/>
                <w:b/>
                <w:lang w:val="ru-MO"/>
              </w:rPr>
            </w:pPr>
            <w:r w:rsidRPr="00E203F7">
              <w:rPr>
                <w:rFonts w:eastAsia="Cambria"/>
                <w:b/>
                <w:lang w:val="ru-MO"/>
              </w:rPr>
              <w:t>Пар</w:t>
            </w:r>
            <w:r w:rsidRPr="00E203F7">
              <w:rPr>
                <w:rFonts w:eastAsia="Cambria"/>
                <w:b/>
                <w:lang w:val="ru-MO"/>
              </w:rPr>
              <w:t>т</w:t>
            </w:r>
            <w:r w:rsidRPr="00E203F7">
              <w:rPr>
                <w:rFonts w:eastAsia="Cambria"/>
                <w:b/>
                <w:lang w:val="ru-MO"/>
              </w:rPr>
              <w:t>неры</w:t>
            </w:r>
          </w:p>
        </w:tc>
        <w:tc>
          <w:tcPr>
            <w:tcW w:w="2693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Показатели прогре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бюджетные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иные</w:t>
            </w: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2019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2020 г.</w:t>
            </w: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3.2.1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Создание наци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нальных структур развития волонте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ства и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увеличение их кол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чества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3.2.1.1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Участие организаций, привлекающих волонтеров, в созд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нии групп действия на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местах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2018– 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МСХ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 xml:space="preserve">РОС, 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 xml:space="preserve">ство </w:t>
            </w:r>
            <w:r w:rsidRPr="00E203F7">
              <w:rPr>
                <w:lang w:val="ru-MO"/>
              </w:rPr>
              <w:lastRenderedPageBreak/>
              <w:t>юст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ции,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МЭИ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lastRenderedPageBreak/>
              <w:t>ПАГ,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СМВМ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ге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графия и разнообразие созда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групп действия на местах;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ге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графия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и разнообразие привл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ченных организаций;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функциональность групп действия на 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стах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3.2.1.2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Создание Национальн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го волонтерского центра Молдовы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2018 г. 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1500000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center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center"/>
              <w:rPr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100000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Прав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тельство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Национальный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терский центр Молдовы 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здан;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функциональность 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ответствующего центра 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3.2.1.3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Создание инициати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групп и поддержка их де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тельности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 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</w:t>
            </w:r>
            <w:r w:rsidRPr="00E203F7">
              <w:rPr>
                <w:lang w:val="ru-MO"/>
              </w:rPr>
              <w:t>О</w:t>
            </w:r>
            <w:r w:rsidRPr="00E203F7">
              <w:rPr>
                <w:lang w:val="ru-MO"/>
              </w:rPr>
              <w:t>КИ,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О</w:t>
            </w:r>
            <w:r w:rsidRPr="00E203F7">
              <w:rPr>
                <w:lang w:val="ru-MO"/>
              </w:rPr>
              <w:t>Ц</w:t>
            </w:r>
            <w:r w:rsidRPr="00E203F7">
              <w:rPr>
                <w:lang w:val="ru-MO"/>
              </w:rPr>
              <w:t>ПУ,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О</w:t>
            </w:r>
            <w:r w:rsidRPr="00E203F7">
              <w:rPr>
                <w:lang w:val="ru-MO"/>
              </w:rPr>
              <w:t>М</w:t>
            </w:r>
            <w:r w:rsidRPr="00E203F7">
              <w:rPr>
                <w:lang w:val="ru-MO"/>
              </w:rPr>
              <w:t>ПУ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ru-MO" w:eastAsia="ro-R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 w:eastAsia="ro-RO"/>
              </w:rPr>
              <w:t>HAI,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MS Mincho" w:hAnsi="Times New Roman"/>
                <w:sz w:val="24"/>
                <w:szCs w:val="24"/>
                <w:lang w:val="ru-MO" w:eastAsia="ro-RO"/>
              </w:rPr>
              <w:t>ПАГ, НСММ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периоди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ность и область де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й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ствий по поддержке инициати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ных групп;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разноо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разие вовлеченных субъектов;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геогр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фия инициати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групп, которым была оказ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на поддер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3.2.1.4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Оценка расходов на функционирование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Национального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терского центра Молд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вы на примере анал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гичного агентства с п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тью сотрудниками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Times New Roman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Министе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ство ф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нансов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ru-MO" w:eastAsia="ro-RO"/>
              </w:rPr>
            </w:pP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Расходы оценены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3.2.2                    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Продвижение об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чения в области менеджмента волонтеров на ра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личных уровнях 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разования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3.2.2.1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и продвижение куррик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лума для обучения координаторов волонт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ров, в том числе для высших уче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заведений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rFonts w:eastAsia="Calibri"/>
                <w:lang w:val="ru-MO" w:eastAsia="en-US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20000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</w:t>
            </w:r>
            <w:r w:rsidRPr="00E203F7">
              <w:rPr>
                <w:lang w:val="ru-MO"/>
              </w:rPr>
              <w:t>О</w:t>
            </w:r>
            <w:r w:rsidRPr="00E203F7">
              <w:rPr>
                <w:lang w:val="ru-MO"/>
              </w:rPr>
              <w:t>КИ,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АПУ</w:t>
            </w:r>
          </w:p>
          <w:p w:rsidR="008C2F1E" w:rsidRPr="00E203F7" w:rsidRDefault="008C2F1E" w:rsidP="008A3C50">
            <w:pPr>
              <w:pStyle w:val="NormalWeb"/>
              <w:jc w:val="left"/>
              <w:rPr>
                <w:rFonts w:eastAsia="Calibri"/>
                <w:lang w:val="ru-MO" w:eastAsia="en-US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СРРМ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ВК,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ИНО,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Куррикулум для обучения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теров;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ласть распространения ку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рикулума 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учрежд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ний, применяющих 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соответствующий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курр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кулум в учебном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цессе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3.2.2.2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и внедр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ние модуля «Менеджмент волонтеров» как часть 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неджмента людских ресу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2018–2019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strike/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100000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</w:t>
            </w:r>
            <w:r w:rsidRPr="00E203F7">
              <w:rPr>
                <w:lang w:val="ru-MO"/>
              </w:rPr>
              <w:t>О</w:t>
            </w:r>
            <w:r w:rsidRPr="00E203F7">
              <w:rPr>
                <w:lang w:val="ru-MO"/>
              </w:rPr>
              <w:t>КИ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strike/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СРРМ,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ВК,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ИНО,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Разработанный 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дуль «Менеджмент волонт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ров»;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инициативы по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движению разработанного 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дуля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3.2.2.3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Подготовка педагогич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ских кадров, специал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зирующих на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менед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менте волонтеров, для обучения координаторов 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лонтеров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2019–  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30000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</w:t>
            </w:r>
            <w:r w:rsidRPr="00E203F7">
              <w:rPr>
                <w:lang w:val="ru-MO"/>
              </w:rPr>
              <w:t>О</w:t>
            </w:r>
            <w:r w:rsidRPr="00E203F7">
              <w:rPr>
                <w:lang w:val="ru-MO"/>
              </w:rPr>
              <w:t>КИ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СРРМ,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ВК,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ИНО,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педагог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ческих кадров, специ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лизирующихся на менеджме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те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волонтеров (с разби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кой по полу, селу/городу, геогр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фии и др.);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азвитые компетенции в результате соотве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ствующих учебных меропри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тиях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3.2.2.4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Обучение руководит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лей/государственных служащих ОЦПУ и ОМПУ </w:t>
            </w:r>
            <w:r w:rsidRPr="00E203F7">
              <w:rPr>
                <w:rFonts w:ascii="Times New Roman" w:hAnsi="Times New Roman"/>
                <w:sz w:val="24"/>
                <w:szCs w:val="24"/>
              </w:rPr>
              <w:t>I</w:t>
            </w:r>
            <w:r w:rsidRPr="00E20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E203F7">
              <w:rPr>
                <w:rFonts w:ascii="Times New Roman" w:hAnsi="Times New Roman"/>
                <w:sz w:val="24"/>
                <w:szCs w:val="24"/>
              </w:rPr>
              <w:t>II</w:t>
            </w:r>
            <w:r w:rsidRPr="00E20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уровней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в области менеджмента волонт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АПУ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ВК,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проше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ших обучение госуда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ственных служащих (с разбивкой по уро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ням органов публи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ного управления, полу, ге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графии и др.);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улучшенные компете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ции в результате соо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ветствующего обучения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3.2.2.5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Обучение координат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ров волонтеров для др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гих государственных учреждений и для орг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низаций гражданского общества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Инст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тут педагог</w:t>
            </w:r>
            <w:r w:rsidRPr="00E203F7">
              <w:rPr>
                <w:lang w:val="ru-MO"/>
              </w:rPr>
              <w:t>и</w:t>
            </w:r>
            <w:r w:rsidRPr="00E203F7">
              <w:rPr>
                <w:lang w:val="ru-MO"/>
              </w:rPr>
              <w:t>ческих наук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ВК,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проше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ших обучение координаторов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теров;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улучшенные компете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ции в результате соответствующего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обуч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разноо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разие государственных учреждений и ОГО, участвовавших в об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чающих мероприятиях для координаторов волонт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ров 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3.2.3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Создание наци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нальной базы да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о волонтерстве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3.2.3.1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Обеспечение функци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нальности Национал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ной платформы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терства и ее продвиж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ние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7000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7000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7000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МЗТСЗ,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НВЦМ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Веб-страница, 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соде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й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ствующая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продвиж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нию и развитию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терства, адаптирована и функци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нальна;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количество посещений 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соответс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вующей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веб-страницы;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разноо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разие учреждений, занимающихся продв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жением соответствующей пла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формы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3.2.3.2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Создание модуля по взаимоподключению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базы да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ных на веб-странице </w:t>
            </w:r>
            <w:hyperlink r:id="rId7" w:history="1">
              <w:r w:rsidRPr="00E203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ru-MO"/>
                </w:rPr>
                <w:t>Национальной</w:t>
              </w:r>
            </w:hyperlink>
            <w:r w:rsidRPr="00E203F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ru-MO"/>
              </w:rPr>
              <w:t xml:space="preserve"> платформы волонтерства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 национал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ной базой данных занят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сти населения НАЗН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 г.</w:t>
            </w:r>
          </w:p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НАЗН,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Центр электро</w:t>
            </w:r>
            <w:r w:rsidRPr="00E203F7">
              <w:rPr>
                <w:lang w:val="ru-MO"/>
              </w:rPr>
              <w:t>н</w:t>
            </w:r>
            <w:r w:rsidRPr="00E203F7">
              <w:rPr>
                <w:lang w:val="ru-MO"/>
              </w:rPr>
              <w:t>но</w:t>
            </w:r>
            <w:r w:rsidRPr="00E203F7">
              <w:rPr>
                <w:lang w:val="ru-MO"/>
              </w:rPr>
              <w:lastRenderedPageBreak/>
              <w:t>го управления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lastRenderedPageBreak/>
              <w:t>ПАГ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Веб-страница Наци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нальной платформы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волонтерства 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подкл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ю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чена</w:t>
            </w:r>
            <w:proofErr w:type="gramEnd"/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к национальной базе данных занятости 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селения;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функциональность взаимопо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ключения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3.2.4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Разъяснение поте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циальной пользы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терства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3.2.4.1 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Организация Наци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нальной недели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терства, Фестиваля волонтеров и Национал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ной конференции по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терству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650000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650000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650000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spacing w:val="-20"/>
                <w:lang w:val="ru-MO"/>
              </w:rPr>
            </w:pPr>
            <w:r w:rsidRPr="00E203F7">
              <w:rPr>
                <w:spacing w:val="-20"/>
                <w:lang w:val="ru-MO"/>
              </w:rPr>
              <w:t>1500000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НВЦМ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strike/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ВК,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ПАГ, Служба мира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периоди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ность и масштаб пров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денных мер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приятий;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организ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ций, учреждений и лиц,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нявших участие  в разработке и/или поддержавших инициат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вы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3.2.4.2.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Проведение публи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кампаний по продвиж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нию вовлечения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теров в различные сф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ры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300000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НВЦМ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периоди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ность и масштаб орг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низованных меропри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тий;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организ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ций, учреждений и лиц,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нявших участие в разработке и/или поддержавших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инициат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вы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3.2.4.3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Проведение исследов</w:t>
            </w: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ния о возможностях ра</w:t>
            </w: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з</w:t>
            </w: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вития различных видов волонтерства, включающие их пр</w:t>
            </w: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имущества, влияние и вклад в бор</w:t>
            </w: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бу с бедностью и сниж</w:t>
            </w: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ние его уро</w:t>
            </w: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в</w:t>
            </w:r>
            <w:r w:rsidRPr="00E203F7">
              <w:rPr>
                <w:rStyle w:val="hps"/>
                <w:rFonts w:ascii="Times New Roman" w:hAnsi="Times New Roman"/>
                <w:sz w:val="24"/>
                <w:szCs w:val="24"/>
                <w:lang w:val="ru-MO"/>
              </w:rPr>
              <w:t>ня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2018 г. 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25000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НВЦМ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ВК,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Проведенное исслед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вание;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значимость констат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ций, заключений и применяемость рек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мендаций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3.2.4.4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Обеспечение функци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нирования Комиссии по сертификации организ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ций, привлекающих волонтеров, а также нео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ходимых инструментов, используемых в волонтерской де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тельности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strike/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</w:t>
            </w:r>
            <w:r w:rsidRPr="00E203F7">
              <w:rPr>
                <w:lang w:val="ru-MO"/>
              </w:rPr>
              <w:t>О</w:t>
            </w:r>
            <w:r w:rsidRPr="00E203F7">
              <w:rPr>
                <w:lang w:val="ru-MO"/>
              </w:rPr>
              <w:t>КИ,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  <w:r w:rsidRPr="00E203F7">
              <w:rPr>
                <w:sz w:val="24"/>
                <w:szCs w:val="24"/>
                <w:lang w:val="ru-MO"/>
              </w:rPr>
              <w:t>НВЦМ</w:t>
            </w:r>
            <w:r w:rsidRPr="00E203F7">
              <w:rPr>
                <w:rFonts w:ascii="Times New Roman" w:eastAsia="MS Mincho" w:hAnsi="Times New Roman"/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аккредит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ванных организаций, количество волонте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ских удостовер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ний;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гистров учета 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лонтеров;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гистров учета договоров воло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терства и именных св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детельств волонт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ра; 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число рег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стров учета волонтерских удост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верений</w:t>
            </w:r>
          </w:p>
        </w:tc>
      </w:tr>
      <w:tr w:rsidR="008C2F1E" w:rsidRPr="00E203F7" w:rsidTr="008A3C50">
        <w:tc>
          <w:tcPr>
            <w:tcW w:w="15310" w:type="dxa"/>
            <w:gridSpan w:val="10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i/>
                <w:sz w:val="24"/>
                <w:szCs w:val="24"/>
                <w:lang w:val="ru-MO"/>
              </w:rPr>
              <w:lastRenderedPageBreak/>
              <w:t>Конкретная цель 3.3. Продвижение гражданского духа и гражданского воспитания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Деятельн</w:t>
            </w:r>
            <w:r w:rsidRPr="00E203F7">
              <w:rPr>
                <w:rFonts w:eastAsia="Times New Roman"/>
                <w:bCs w:val="0"/>
                <w:lang w:val="ru-MO"/>
              </w:rPr>
              <w:t>о</w:t>
            </w:r>
            <w:r w:rsidRPr="00E203F7">
              <w:rPr>
                <w:rFonts w:eastAsia="Times New Roman"/>
                <w:bCs w:val="0"/>
                <w:lang w:val="ru-MO"/>
              </w:rPr>
              <w:t>сть</w:t>
            </w:r>
          </w:p>
        </w:tc>
        <w:tc>
          <w:tcPr>
            <w:tcW w:w="2797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Действия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/>
              </w:rPr>
              <w:t>Срок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Times New Roman"/>
                <w:bCs w:val="0"/>
                <w:lang w:val="ru-MO"/>
              </w:rPr>
              <w:t>испо</w:t>
            </w:r>
            <w:r w:rsidRPr="00E203F7">
              <w:rPr>
                <w:rFonts w:eastAsia="Times New Roman"/>
                <w:bCs w:val="0"/>
                <w:lang w:val="ru-MO"/>
              </w:rPr>
              <w:t>л</w:t>
            </w:r>
            <w:r w:rsidRPr="00E203F7">
              <w:rPr>
                <w:rFonts w:eastAsia="Times New Roman"/>
                <w:bCs w:val="0"/>
                <w:lang w:val="ru-MO"/>
              </w:rPr>
              <w:t>нения</w:t>
            </w:r>
          </w:p>
        </w:tc>
        <w:tc>
          <w:tcPr>
            <w:tcW w:w="3971" w:type="dxa"/>
            <w:gridSpan w:val="4"/>
          </w:tcPr>
          <w:p w:rsidR="008C2F1E" w:rsidRPr="00E203F7" w:rsidRDefault="008C2F1E" w:rsidP="008A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Источники финансир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вания</w:t>
            </w:r>
          </w:p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(леев</w:t>
            </w:r>
            <w:r w:rsidRPr="00E203F7">
              <w:rPr>
                <w:rFonts w:eastAsia="Times New Roman"/>
                <w:bCs w:val="0"/>
                <w:lang w:val="ru-MO"/>
              </w:rPr>
              <w:t>)</w:t>
            </w:r>
          </w:p>
        </w:tc>
        <w:tc>
          <w:tcPr>
            <w:tcW w:w="1418" w:type="dxa"/>
            <w:vMerge w:val="restart"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Отве</w:t>
            </w:r>
            <w:r w:rsidRPr="00E203F7">
              <w:rPr>
                <w:rFonts w:eastAsia="Cambria"/>
                <w:lang w:val="ru-MO"/>
              </w:rPr>
              <w:t>т</w:t>
            </w:r>
            <w:r w:rsidRPr="00E203F7">
              <w:rPr>
                <w:rFonts w:eastAsia="Cambria"/>
                <w:lang w:val="ru-MO"/>
              </w:rPr>
              <w:t>ственные</w:t>
            </w:r>
          </w:p>
        </w:tc>
        <w:tc>
          <w:tcPr>
            <w:tcW w:w="1134" w:type="dxa"/>
            <w:vMerge w:val="restart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rFonts w:eastAsia="Times New Roman"/>
                <w:b/>
                <w:lang w:val="ru-MO"/>
              </w:rPr>
            </w:pPr>
            <w:r w:rsidRPr="00E203F7">
              <w:rPr>
                <w:rFonts w:eastAsia="Cambria"/>
                <w:b/>
                <w:lang w:val="ru-MO"/>
              </w:rPr>
              <w:t>Пар</w:t>
            </w:r>
            <w:r w:rsidRPr="00E203F7">
              <w:rPr>
                <w:rFonts w:eastAsia="Cambria"/>
                <w:b/>
                <w:lang w:val="ru-MO"/>
              </w:rPr>
              <w:t>т</w:t>
            </w:r>
            <w:r w:rsidRPr="00E203F7">
              <w:rPr>
                <w:rFonts w:eastAsia="Cambria"/>
                <w:b/>
                <w:lang w:val="ru-MO"/>
              </w:rPr>
              <w:t>неры</w:t>
            </w:r>
          </w:p>
        </w:tc>
        <w:tc>
          <w:tcPr>
            <w:tcW w:w="2693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Показатели прогре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са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бюджетные</w:t>
            </w:r>
          </w:p>
        </w:tc>
        <w:tc>
          <w:tcPr>
            <w:tcW w:w="992" w:type="dxa"/>
            <w:vMerge w:val="restart"/>
          </w:tcPr>
          <w:p w:rsidR="008C2F1E" w:rsidRPr="00E203F7" w:rsidRDefault="008C2F1E" w:rsidP="008A3C50">
            <w:pPr>
              <w:pStyle w:val="cb"/>
              <w:rPr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иные</w:t>
            </w: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2797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2019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2020 г.</w:t>
            </w:r>
          </w:p>
        </w:tc>
        <w:tc>
          <w:tcPr>
            <w:tcW w:w="992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418" w:type="dxa"/>
            <w:vMerge/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</w:p>
        </w:tc>
        <w:tc>
          <w:tcPr>
            <w:tcW w:w="1134" w:type="dxa"/>
            <w:vMerge/>
            <w:vAlign w:val="center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3.3.1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Оценка куррикул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ма школьной дисциплины «Гра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данское воспитание» и обуч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ние педагогических 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ботников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3.3.1.1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измен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ний в куррикулум школьной дисципл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 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 w:eastAsia="ru-RU"/>
              </w:rPr>
              <w:t>ПАГ,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НСММ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Изменения в куррик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лум школьной дисц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плины внесены;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рекоменд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ванных и принятых изм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нений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3.3.1.2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Ежегодное обучение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подавателей в сфере образования для дем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кратического гражда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ства, участия в управл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нии публичными делами, прозрачности 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цесса принятия решений и межкультурного обр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зования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 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rFonts w:eastAsia="Times New Roman"/>
                <w:lang w:val="ru-MO"/>
              </w:rPr>
              <w:t>В пределах имеющихся р</w:t>
            </w:r>
            <w:r w:rsidRPr="00E203F7">
              <w:rPr>
                <w:rFonts w:eastAsia="Times New Roman"/>
                <w:lang w:val="ru-MO"/>
              </w:rPr>
              <w:t>е</w:t>
            </w:r>
            <w:r w:rsidRPr="00E203F7">
              <w:rPr>
                <w:rFonts w:eastAsia="Times New Roman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НСММ,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</w:rPr>
              <w:t>FAM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пери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дичность проведенных обучающих меропри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тий; количество и ге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графия прошедших обучение лиц;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результаты тестиров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до и после обуч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</w:t>
            </w:r>
          </w:p>
        </w:tc>
      </w:tr>
      <w:tr w:rsidR="008C2F1E" w:rsidRPr="00E203F7" w:rsidTr="008A3C50">
        <w:tc>
          <w:tcPr>
            <w:tcW w:w="2305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конце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ции развития неформального обр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зования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3.3.2.1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Разработка Полож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об аттестации знаний, приобретенных в неформал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ном/информа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льном ко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тексте 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2018 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50000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Госуда</w:t>
            </w:r>
            <w:r w:rsidRPr="00E203F7">
              <w:rPr>
                <w:lang w:val="ru-MO"/>
              </w:rPr>
              <w:t>р</w:t>
            </w:r>
            <w:r w:rsidRPr="00E203F7">
              <w:rPr>
                <w:lang w:val="ru-MO"/>
              </w:rPr>
              <w:t>ственная канцел</w:t>
            </w:r>
            <w:r w:rsidRPr="00E203F7">
              <w:rPr>
                <w:lang w:val="ru-MO"/>
              </w:rPr>
              <w:t>я</w:t>
            </w:r>
            <w:r w:rsidRPr="00E203F7">
              <w:rPr>
                <w:lang w:val="ru-MO"/>
              </w:rPr>
              <w:t>рия,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</w:t>
            </w:r>
          </w:p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НСММ,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HAI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Разработанная конце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ция устанавливает базу развития неформального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обр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зования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3.3.3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Продвижение неформального гра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данского образов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ния, в том числе лиц с ограниче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ными возможн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стями</w:t>
            </w:r>
            <w:proofErr w:type="gramStart"/>
            <w:r w:rsidRPr="00E203F7">
              <w:rPr>
                <w:rFonts w:ascii="Times New Roman" w:hAnsi="Times New Roman"/>
                <w:sz w:val="24"/>
                <w:szCs w:val="24"/>
                <w:vertAlign w:val="superscript"/>
                <w:lang w:val="ru-MO"/>
              </w:rPr>
              <w:t>1</w:t>
            </w:r>
            <w:proofErr w:type="gramEnd"/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3.3.3.1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Продвижение и призн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ние неформальной обр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зовательной деятельн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сти, в том числе через форумы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 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140000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13000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130000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НСММ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периоди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ность и масштаб орг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низованных меропри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тий; количество, сфера деятельности и география участн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ков;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разнообразие сп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собов продвижения меропр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ятий и вовлеченных суб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ъ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ектов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3.3.3.2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Создание и развитие 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дельных разделов на веб-страницах органов публичной власти и организ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ций гражданского общ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ства, посвященных возможностям получ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неформального образов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ния, в том числе для лиц с ограниченн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ы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ми возможн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стями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ПУ,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ПУ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НСММ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ство веб-страниц с соответствующими отдельными раздел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ми;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разнообр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зие и география пользоват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лей, в том числе лиц с ограниченными возмо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ностями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3.3.3.3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Ежегодное обучение преподавателей учр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ждений среднего обр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зования в области мет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дов и важности нефо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мального и межкультурного 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разования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2018–2020 гг. 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</w:t>
            </w:r>
            <w:r w:rsidRPr="00E203F7">
              <w:rPr>
                <w:lang w:val="ru-MO"/>
              </w:rPr>
              <w:t>О</w:t>
            </w:r>
            <w:r w:rsidRPr="00E203F7">
              <w:rPr>
                <w:lang w:val="ru-MO"/>
              </w:rPr>
              <w:t>КИ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НСММ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геогр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фия прошедших обучение преподав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телей;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учебных часов в области нефо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мального и межкул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турного образов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ния;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результаты тестиров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до и после обуч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3.3.3.4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Ежегодная организ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ция недели нефо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мального образов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в школах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2018–2020 гг. 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17000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17000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16000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НСММ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проведенных меропри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тий;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ге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графия вовлече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ных школ;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вовлеченных уч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щихся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3.3.3.5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Ежегодное обучение 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лодежных работников и персонала, специал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зирующихся в сфере культуры развития и признания приобрете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компетенций в ра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ках неформального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образов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 xml:space="preserve">2018–2020 гг.  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140000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130000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130000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НСММ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сфера де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тельности и география прошедшего обуч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ние персонала;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результаты тестиров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до и после обуч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3.3.4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Информиров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ние о гражданской ин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циативе и воспит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ние гражданского духа на уровне 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общества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3.3.4.1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Ежегодное обучение пре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ставителей ОМПУ в области концепции 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мократии участия и гражданской инициат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вы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АПУ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СМВМ,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НСММ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ство, уровень и география местных избранников и госуда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ственных служащих из ОМПУ, прошедших об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чение;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результаты тестиров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до и после обуч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масштаб продвиж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обучающих меропри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я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тий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3.3.4.2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Обучение представит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лей сообщества специ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лизированным персон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лом публичных библи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тек в области демокр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тии участия и гражданской ин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циативы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200000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200000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lang w:val="ru-MO"/>
              </w:rPr>
            </w:pPr>
            <w:r w:rsidRPr="00E203F7">
              <w:rPr>
                <w:lang w:val="ru-MO"/>
              </w:rPr>
              <w:t>200000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АБРМ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разноо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разие представителей 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общества, обученных перс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налом публичных библиотек;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ге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графия организованных об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чающих мероприятий;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результаты тестиров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до и после обуч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ния;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масштаб продвиж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ния учебных мер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приятий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3.3.4.3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Ежегодная организ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ция на местном уровне информационных кампаний и др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гих действий с привличением 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ПУ в области  развития гра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данского духа на уровне сообщес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 пределах имеющихся р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сурсов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ПУ,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Госуда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ственная ка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целярия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СМВМ,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НСММ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геогр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фия проведенных кампаний; количество 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влеченных лиц;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уровень информир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ванности сообществ из зон проведения местных ка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паний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3.3.4.4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Организация трех нац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ональных/региональных форумов активной м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лодежи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100000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100000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100000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spacing w:val="-20"/>
                <w:lang w:val="ru-MO"/>
              </w:rPr>
            </w:pPr>
            <w:r w:rsidRPr="00E203F7">
              <w:rPr>
                <w:spacing w:val="-20"/>
                <w:lang w:val="ru-MO"/>
              </w:rPr>
              <w:t>1500000</w:t>
            </w: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СМВМ,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НСММ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организ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ванных форумов;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разнообр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зие и география учас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ников фор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мов;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эффекты организованных фор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мов</w:t>
            </w:r>
          </w:p>
        </w:tc>
      </w:tr>
      <w:tr w:rsidR="008C2F1E" w:rsidRPr="00E203F7" w:rsidTr="008A3C50">
        <w:tc>
          <w:tcPr>
            <w:tcW w:w="2305" w:type="dxa"/>
            <w:vMerge w:val="restart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3.3.5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Создание и консол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дация программ ме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культурного образ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вания</w:t>
            </w: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3.3.5.1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Выработка и реал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зация программы межкультурн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го образования в мол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дежных центрах, центрах творчества и публичных библи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теках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60000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20000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20000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НСММ,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АБРМ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Программа межкульту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ного образования выр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ботана и внедрена;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молоде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центров, центров творч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ства и публичных би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лиотек, внедривших 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lastRenderedPageBreak/>
              <w:t>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ы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работанную программу</w:t>
            </w:r>
          </w:p>
        </w:tc>
      </w:tr>
      <w:tr w:rsidR="008C2F1E" w:rsidRPr="00E203F7" w:rsidTr="008A3C50">
        <w:tc>
          <w:tcPr>
            <w:tcW w:w="2305" w:type="dxa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3.3.5.2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Ежего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ное проведение информационных кампаний на 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му толерантности и недискриминации на центральном и мес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ном уровнях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2018–2020 гг. 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40000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40000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40000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lang w:val="ru-MO"/>
              </w:rPr>
            </w:pPr>
          </w:p>
        </w:tc>
        <w:tc>
          <w:tcPr>
            <w:tcW w:w="1418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Бюро межэтнич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ских отн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о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шений,</w:t>
            </w: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lang w:val="ru-MO"/>
              </w:rPr>
              <w:t>МОКИ</w:t>
            </w:r>
          </w:p>
        </w:tc>
        <w:tc>
          <w:tcPr>
            <w:tcW w:w="1134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СМВМ,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НСММ</w:t>
            </w:r>
          </w:p>
        </w:tc>
        <w:tc>
          <w:tcPr>
            <w:tcW w:w="2693" w:type="dxa"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Количество, периоди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ч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ность и география пров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денных камп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ний;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количество и разнообразие вовлече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ных органов пу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б</w:t>
            </w:r>
            <w:r w:rsidRPr="00E203F7">
              <w:rPr>
                <w:rFonts w:ascii="Times New Roman" w:hAnsi="Times New Roman"/>
                <w:sz w:val="24"/>
                <w:szCs w:val="24"/>
                <w:lang w:val="ru-MO"/>
              </w:rPr>
              <w:t>личной власти, ОГО, СМИ</w:t>
            </w:r>
          </w:p>
        </w:tc>
      </w:tr>
      <w:tr w:rsidR="008C2F1E" w:rsidRPr="00E203F7" w:rsidTr="008A3C50"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3.3.5.3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Продвижение кул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ь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турно-исторического наследия межкультурного диалога посредством их популяр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зации на территории Ре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с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публики Молдова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2018–2020 гг.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  <w:r w:rsidRPr="00E203F7">
              <w:rPr>
                <w:color w:val="000000"/>
                <w:lang w:val="ru-MO"/>
              </w:rPr>
              <w:t>100000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  <w:r w:rsidRPr="00E203F7">
              <w:rPr>
                <w:color w:val="000000"/>
                <w:lang w:val="ru-MO"/>
              </w:rPr>
              <w:t>100000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  <w:r w:rsidRPr="00E203F7">
              <w:rPr>
                <w:color w:val="000000"/>
                <w:lang w:val="ru-MO"/>
              </w:rPr>
              <w:t>100000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color w:val="000000"/>
                <w:lang w:val="ru-MO"/>
              </w:rPr>
            </w:pPr>
            <w:r w:rsidRPr="00E203F7">
              <w:rPr>
                <w:color w:val="000000"/>
                <w:lang w:val="ru-MO"/>
              </w:rPr>
              <w:t>200000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lang w:val="ru-MO"/>
              </w:rPr>
            </w:pPr>
            <w:r w:rsidRPr="00E203F7">
              <w:rPr>
                <w:color w:val="000000"/>
                <w:lang w:val="ru-MO"/>
              </w:rPr>
              <w:t>МОКИ,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ОМПУ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ОГО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Периодичность, геогр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фия и количество пров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е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денных мероприятий; кол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и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чество вовлеченных волонтеров; </w:t>
            </w: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количество бенефици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а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ров</w:t>
            </w:r>
          </w:p>
        </w:tc>
      </w:tr>
      <w:tr w:rsidR="008C2F1E" w:rsidRPr="00E203F7" w:rsidTr="008A3C50">
        <w:tc>
          <w:tcPr>
            <w:tcW w:w="2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color w:val="000000"/>
                <w:lang w:val="ru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color w:val="000000"/>
                <w:lang w:val="ru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color w:val="000000"/>
                <w:lang w:val="ru-M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rPr>
          <w:trHeight w:val="227"/>
        </w:trPr>
        <w:tc>
          <w:tcPr>
            <w:tcW w:w="6094" w:type="dxa"/>
            <w:gridSpan w:val="3"/>
            <w:vMerge w:val="restart"/>
            <w:tcBorders>
              <w:top w:val="single" w:sz="4" w:space="0" w:color="auto"/>
            </w:tcBorders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ВСЕГО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Бюджетные ресурсы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2F1E" w:rsidRPr="00E203F7" w:rsidRDefault="008C2F1E" w:rsidP="008A3C50">
            <w:pPr>
              <w:pStyle w:val="cb"/>
              <w:rPr>
                <w:lang w:val="ru-MO"/>
              </w:rPr>
            </w:pPr>
            <w:r w:rsidRPr="00E203F7">
              <w:rPr>
                <w:rFonts w:eastAsia="Cambria"/>
                <w:lang w:val="ru-MO"/>
              </w:rPr>
              <w:t>Иные ресу</w:t>
            </w:r>
            <w:r w:rsidRPr="00E203F7">
              <w:rPr>
                <w:rFonts w:eastAsia="Cambria"/>
                <w:lang w:val="ru-MO"/>
              </w:rPr>
              <w:t>р</w:t>
            </w:r>
            <w:r w:rsidRPr="00E203F7">
              <w:rPr>
                <w:rFonts w:eastAsia="Cambria"/>
                <w:lang w:val="ru-MO"/>
              </w:rPr>
              <w:t>сы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</w:tcBorders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58 действий (59%) из намеченных 98 финансирую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т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ся </w:t>
            </w:r>
            <w:r w:rsidRPr="00E203F7">
              <w:rPr>
                <w:rFonts w:ascii="Times New Roman" w:hAnsi="Times New Roman"/>
                <w:i/>
                <w:color w:val="000000"/>
                <w:sz w:val="24"/>
                <w:szCs w:val="24"/>
                <w:lang w:val="ru-MO"/>
              </w:rPr>
              <w:t>в пределах имеющихся ресурсов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и не могут быть </w:t>
            </w:r>
            <w:proofErr w:type="gramStart"/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оценены</w:t>
            </w:r>
            <w:proofErr w:type="gramEnd"/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в дене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ж</w:t>
            </w:r>
            <w:r w:rsidRPr="00E203F7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ном выражении.</w:t>
            </w:r>
          </w:p>
        </w:tc>
      </w:tr>
      <w:tr w:rsidR="008C2F1E" w:rsidRPr="00E203F7" w:rsidTr="008A3C50">
        <w:tc>
          <w:tcPr>
            <w:tcW w:w="6094" w:type="dxa"/>
            <w:gridSpan w:val="3"/>
            <w:vMerge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  <w:shd w:val="clear" w:color="auto" w:fill="D9D9D9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2018 г.</w:t>
            </w:r>
          </w:p>
        </w:tc>
        <w:tc>
          <w:tcPr>
            <w:tcW w:w="993" w:type="dxa"/>
            <w:shd w:val="clear" w:color="auto" w:fill="D9D9D9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2019 г.</w:t>
            </w:r>
          </w:p>
        </w:tc>
        <w:tc>
          <w:tcPr>
            <w:tcW w:w="993" w:type="dxa"/>
            <w:shd w:val="clear" w:color="auto" w:fill="D9D9D9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color w:val="000000"/>
                <w:lang w:val="ru-MO"/>
              </w:rPr>
            </w:pPr>
            <w:r w:rsidRPr="00E203F7">
              <w:rPr>
                <w:rFonts w:eastAsia="Cambria"/>
                <w:lang w:val="ru-MO"/>
              </w:rPr>
              <w:t>2020 г.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  <w:r w:rsidRPr="00E203F7">
              <w:rPr>
                <w:color w:val="000000"/>
                <w:lang w:val="ru-MO"/>
              </w:rPr>
              <w:t>2018–</w:t>
            </w:r>
            <w:r w:rsidRPr="00E203F7">
              <w:rPr>
                <w:color w:val="000000"/>
                <w:lang w:val="ru-MO"/>
              </w:rPr>
              <w:lastRenderedPageBreak/>
              <w:t>2020 гг.</w:t>
            </w:r>
          </w:p>
        </w:tc>
        <w:tc>
          <w:tcPr>
            <w:tcW w:w="5245" w:type="dxa"/>
            <w:gridSpan w:val="3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6094" w:type="dxa"/>
            <w:gridSpan w:val="3"/>
            <w:vMerge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cb"/>
              <w:rPr>
                <w:rFonts w:eastAsia="Cambria"/>
                <w:b w:val="0"/>
                <w:lang w:val="ru-MO"/>
              </w:rPr>
            </w:pPr>
            <w:r w:rsidRPr="00E203F7">
              <w:rPr>
                <w:rFonts w:eastAsia="Cambria"/>
                <w:b w:val="0"/>
                <w:lang w:val="ru-MO"/>
              </w:rPr>
              <w:t>4104000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0"/>
              <w:rPr>
                <w:color w:val="000000"/>
                <w:lang w:val="ru-MO"/>
              </w:rPr>
            </w:pPr>
            <w:r w:rsidRPr="00E203F7">
              <w:rPr>
                <w:color w:val="000000"/>
                <w:lang w:val="ru-MO"/>
              </w:rPr>
              <w:t>2277000</w:t>
            </w:r>
          </w:p>
        </w:tc>
        <w:tc>
          <w:tcPr>
            <w:tcW w:w="993" w:type="dxa"/>
          </w:tcPr>
          <w:p w:rsidR="008C2F1E" w:rsidRPr="00E203F7" w:rsidRDefault="008C2F1E" w:rsidP="008A3C50">
            <w:pPr>
              <w:pStyle w:val="NormalWeb"/>
              <w:ind w:firstLine="14"/>
              <w:jc w:val="left"/>
              <w:rPr>
                <w:rFonts w:eastAsia="Cambria"/>
                <w:lang w:val="ru-MO"/>
              </w:rPr>
            </w:pPr>
            <w:r w:rsidRPr="00E203F7">
              <w:rPr>
                <w:color w:val="000000"/>
                <w:lang w:val="ru-MO"/>
              </w:rPr>
              <w:t>2276000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jc w:val="left"/>
              <w:rPr>
                <w:color w:val="000000"/>
                <w:lang w:val="ru-MO"/>
              </w:rPr>
            </w:pPr>
            <w:r w:rsidRPr="00E203F7">
              <w:rPr>
                <w:color w:val="000000"/>
                <w:lang w:val="ru-MO"/>
              </w:rPr>
              <w:t>5614000</w:t>
            </w:r>
          </w:p>
        </w:tc>
        <w:tc>
          <w:tcPr>
            <w:tcW w:w="5245" w:type="dxa"/>
            <w:gridSpan w:val="3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6094" w:type="dxa"/>
            <w:gridSpan w:val="3"/>
            <w:vMerge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2979" w:type="dxa"/>
            <w:gridSpan w:val="3"/>
          </w:tcPr>
          <w:p w:rsidR="008C2F1E" w:rsidRPr="00E203F7" w:rsidRDefault="008C2F1E" w:rsidP="008A3C50">
            <w:pPr>
              <w:pStyle w:val="NormalWeb"/>
              <w:ind w:firstLine="14"/>
              <w:jc w:val="center"/>
              <w:rPr>
                <w:b/>
                <w:color w:val="000000"/>
                <w:lang w:val="ru-MO"/>
              </w:rPr>
            </w:pPr>
            <w:r w:rsidRPr="00E203F7">
              <w:rPr>
                <w:color w:val="000000"/>
                <w:lang w:val="ru-MO"/>
              </w:rPr>
              <w:t>8657000</w:t>
            </w:r>
          </w:p>
        </w:tc>
        <w:tc>
          <w:tcPr>
            <w:tcW w:w="992" w:type="dxa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color w:val="000000"/>
                <w:lang w:val="ru-MO"/>
              </w:rPr>
            </w:pPr>
            <w:r w:rsidRPr="00E203F7">
              <w:rPr>
                <w:color w:val="000000"/>
                <w:lang w:val="ru-MO"/>
              </w:rPr>
              <w:t>5614000</w:t>
            </w:r>
          </w:p>
        </w:tc>
        <w:tc>
          <w:tcPr>
            <w:tcW w:w="5245" w:type="dxa"/>
            <w:gridSpan w:val="3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</w:tr>
      <w:tr w:rsidR="008C2F1E" w:rsidRPr="00E203F7" w:rsidTr="008A3C50">
        <w:tc>
          <w:tcPr>
            <w:tcW w:w="6094" w:type="dxa"/>
            <w:gridSpan w:val="3"/>
            <w:vMerge/>
          </w:tcPr>
          <w:p w:rsidR="008C2F1E" w:rsidRPr="00E203F7" w:rsidRDefault="008C2F1E" w:rsidP="008A3C5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  <w:tc>
          <w:tcPr>
            <w:tcW w:w="3971" w:type="dxa"/>
            <w:gridSpan w:val="4"/>
          </w:tcPr>
          <w:p w:rsidR="008C2F1E" w:rsidRPr="00E203F7" w:rsidRDefault="008C2F1E" w:rsidP="008A3C50">
            <w:pPr>
              <w:pStyle w:val="NormalWeb"/>
              <w:ind w:firstLine="0"/>
              <w:jc w:val="center"/>
              <w:rPr>
                <w:color w:val="000000"/>
                <w:lang w:val="ru-MO"/>
              </w:rPr>
            </w:pPr>
            <w:r w:rsidRPr="00E203F7">
              <w:rPr>
                <w:color w:val="000000"/>
                <w:lang w:val="ru-MO"/>
              </w:rPr>
              <w:t>14271000</w:t>
            </w:r>
          </w:p>
        </w:tc>
        <w:tc>
          <w:tcPr>
            <w:tcW w:w="5245" w:type="dxa"/>
            <w:gridSpan w:val="3"/>
            <w:vMerge/>
          </w:tcPr>
          <w:p w:rsidR="008C2F1E" w:rsidRPr="00E203F7" w:rsidRDefault="008C2F1E" w:rsidP="008A3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</w:p>
        </w:tc>
      </w:tr>
    </w:tbl>
    <w:p w:rsidR="008C2F1E" w:rsidRPr="00E203F7" w:rsidRDefault="008C2F1E" w:rsidP="008C2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</w:p>
    <w:p w:rsidR="008C2F1E" w:rsidRPr="00E203F7" w:rsidRDefault="008C2F1E" w:rsidP="008C2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 w:rsidRPr="00E203F7">
        <w:rPr>
          <w:rFonts w:ascii="Times New Roman" w:hAnsi="Times New Roman"/>
          <w:sz w:val="24"/>
          <w:szCs w:val="24"/>
          <w:lang w:val="ru-MO"/>
        </w:rPr>
        <w:t>Примечание:</w:t>
      </w:r>
    </w:p>
    <w:p w:rsidR="008C2F1E" w:rsidRPr="00E203F7" w:rsidRDefault="008C2F1E" w:rsidP="008C2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 w:rsidRPr="00E203F7">
        <w:rPr>
          <w:rFonts w:ascii="Times New Roman" w:hAnsi="Times New Roman"/>
          <w:sz w:val="24"/>
          <w:szCs w:val="24"/>
          <w:vertAlign w:val="superscript"/>
          <w:lang w:val="ru-MO"/>
        </w:rPr>
        <w:t xml:space="preserve">1 </w:t>
      </w:r>
      <w:r w:rsidRPr="00E203F7">
        <w:rPr>
          <w:rFonts w:ascii="Times New Roman" w:hAnsi="Times New Roman"/>
          <w:sz w:val="24"/>
          <w:szCs w:val="24"/>
          <w:lang w:val="ru-MO"/>
        </w:rPr>
        <w:t>Лицами с ограниченными возможностями признаются лица с ограниченными возможностями здоровья, лица, проживающие в сельской местности, лица, принадлежащие к национальным меньшинствам и пр.</w:t>
      </w:r>
    </w:p>
    <w:p w:rsidR="008C2F1E" w:rsidRPr="008C2F1E" w:rsidRDefault="008C2F1E">
      <w:pPr>
        <w:rPr>
          <w:lang w:val="ru-MO"/>
        </w:rPr>
      </w:pPr>
      <w:bookmarkStart w:id="0" w:name="_GoBack"/>
      <w:bookmarkEnd w:id="0"/>
    </w:p>
    <w:sectPr w:rsidR="008C2F1E" w:rsidRPr="008C2F1E" w:rsidSect="007865D5">
      <w:headerReference w:type="default" r:id="rId8"/>
      <w:footerReference w:type="default" r:id="rId9"/>
      <w:pgSz w:w="16840" w:h="11907" w:orient="landscape" w:code="9"/>
      <w:pgMar w:top="1418" w:right="1134" w:bottom="1418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2E" w:rsidRDefault="008C2F1E">
    <w:pPr>
      <w:pStyle w:val="Footer"/>
      <w:jc w:val="center"/>
    </w:pPr>
  </w:p>
  <w:p w:rsidR="003E2B2E" w:rsidRDefault="008C2F1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2E" w:rsidRDefault="008C2F1E">
    <w:pPr>
      <w:pStyle w:val="Header"/>
      <w:jc w:val="center"/>
      <w:rPr>
        <w:rFonts w:ascii="Times New Roman" w:hAnsi="Times New Roman"/>
        <w:sz w:val="28"/>
        <w:szCs w:val="28"/>
        <w:lang w:val="ru-RU"/>
      </w:rPr>
    </w:pPr>
    <w:r w:rsidRPr="003A6027">
      <w:rPr>
        <w:rFonts w:ascii="Times New Roman" w:hAnsi="Times New Roman"/>
        <w:sz w:val="28"/>
        <w:szCs w:val="28"/>
      </w:rPr>
      <w:fldChar w:fldCharType="begin"/>
    </w:r>
    <w:r w:rsidRPr="003A6027">
      <w:rPr>
        <w:rFonts w:ascii="Times New Roman" w:hAnsi="Times New Roman"/>
        <w:sz w:val="28"/>
        <w:szCs w:val="28"/>
      </w:rPr>
      <w:instrText xml:space="preserve"> PAGE   \* MERGEFORMAT </w:instrText>
    </w:r>
    <w:r w:rsidRPr="003A602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3A6027">
      <w:rPr>
        <w:rFonts w:ascii="Times New Roman" w:hAnsi="Times New Roman"/>
        <w:sz w:val="28"/>
        <w:szCs w:val="28"/>
      </w:rPr>
      <w:fldChar w:fldCharType="end"/>
    </w:r>
  </w:p>
  <w:p w:rsidR="003E2B2E" w:rsidRDefault="008C2F1E" w:rsidP="003A6027">
    <w:pPr>
      <w:pStyle w:val="Header"/>
      <w:spacing w:after="0" w:line="240" w:lineRule="auto"/>
      <w:jc w:val="center"/>
    </w:pPr>
    <w:r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8"/>
        <w:szCs w:val="28"/>
        <w:lang w:val="ru-RU"/>
      </w:rPr>
      <w:t>Окончание</w:t>
    </w:r>
    <w:r>
      <w:rPr>
        <w:rFonts w:ascii="Times New Roman" w:hAnsi="Times New Roman"/>
        <w:sz w:val="28"/>
        <w:szCs w:val="28"/>
        <w:lang w:val="ru-RU"/>
      </w:rPr>
      <w:t xml:space="preserve"> приложения 2</w:t>
    </w:r>
  </w:p>
  <w:p w:rsidR="003E2B2E" w:rsidRDefault="008C2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468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D7A94"/>
    <w:multiLevelType w:val="multilevel"/>
    <w:tmpl w:val="892E3E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807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7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79937E2"/>
    <w:multiLevelType w:val="hybridMultilevel"/>
    <w:tmpl w:val="1BE47A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B3827"/>
    <w:multiLevelType w:val="hybridMultilevel"/>
    <w:tmpl w:val="D520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D555D"/>
    <w:multiLevelType w:val="multilevel"/>
    <w:tmpl w:val="042A2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9F76F9"/>
    <w:multiLevelType w:val="hybridMultilevel"/>
    <w:tmpl w:val="D4E25C46"/>
    <w:lvl w:ilvl="0" w:tplc="129A1F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D0EF7"/>
    <w:multiLevelType w:val="multilevel"/>
    <w:tmpl w:val="8D569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F4517E"/>
    <w:multiLevelType w:val="hybridMultilevel"/>
    <w:tmpl w:val="3586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D6F1F"/>
    <w:multiLevelType w:val="multilevel"/>
    <w:tmpl w:val="892E3E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167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2B0D405C"/>
    <w:multiLevelType w:val="hybridMultilevel"/>
    <w:tmpl w:val="B2F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E435D"/>
    <w:multiLevelType w:val="hybridMultilevel"/>
    <w:tmpl w:val="9A0C54C0"/>
    <w:lvl w:ilvl="0" w:tplc="A038F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93D03"/>
    <w:multiLevelType w:val="multilevel"/>
    <w:tmpl w:val="892E3E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167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40913F5E"/>
    <w:multiLevelType w:val="multilevel"/>
    <w:tmpl w:val="5E72AD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479430DF"/>
    <w:multiLevelType w:val="multilevel"/>
    <w:tmpl w:val="26B442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487C07A1"/>
    <w:multiLevelType w:val="multilevel"/>
    <w:tmpl w:val="924CD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FF1156"/>
    <w:multiLevelType w:val="multilevel"/>
    <w:tmpl w:val="892E3E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167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66A8793D"/>
    <w:multiLevelType w:val="multilevel"/>
    <w:tmpl w:val="E45C4F5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F16996"/>
    <w:multiLevelType w:val="hybridMultilevel"/>
    <w:tmpl w:val="023ADAEA"/>
    <w:lvl w:ilvl="0" w:tplc="3ED4DDA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C03499"/>
    <w:multiLevelType w:val="hybridMultilevel"/>
    <w:tmpl w:val="BBC06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D5B08"/>
    <w:multiLevelType w:val="multilevel"/>
    <w:tmpl w:val="172066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CC31724"/>
    <w:multiLevelType w:val="multilevel"/>
    <w:tmpl w:val="078283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15"/>
  </w:num>
  <w:num w:numId="6">
    <w:abstractNumId w:val="1"/>
  </w:num>
  <w:num w:numId="7">
    <w:abstractNumId w:val="12"/>
  </w:num>
  <w:num w:numId="8">
    <w:abstractNumId w:val="13"/>
  </w:num>
  <w:num w:numId="9">
    <w:abstractNumId w:val="19"/>
  </w:num>
  <w:num w:numId="10">
    <w:abstractNumId w:val="20"/>
  </w:num>
  <w:num w:numId="11">
    <w:abstractNumId w:val="10"/>
  </w:num>
  <w:num w:numId="12">
    <w:abstractNumId w:val="2"/>
  </w:num>
  <w:num w:numId="13">
    <w:abstractNumId w:val="18"/>
  </w:num>
  <w:num w:numId="14">
    <w:abstractNumId w:val="17"/>
  </w:num>
  <w:num w:numId="15">
    <w:abstractNumId w:val="16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1E"/>
    <w:rsid w:val="008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1E"/>
    <w:rPr>
      <w:rFonts w:ascii="Cambria" w:eastAsia="Cambria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2F1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C2F1E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1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C2F1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8C2F1E"/>
    <w:pPr>
      <w:spacing w:after="0" w:line="240" w:lineRule="auto"/>
      <w:ind w:firstLine="567"/>
      <w:jc w:val="both"/>
    </w:pPr>
    <w:rPr>
      <w:rFonts w:ascii="Times New Roman" w:eastAsia="MS Mincho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semiHidden/>
    <w:unhideWhenUsed/>
    <w:rsid w:val="008C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2F1E"/>
    <w:rPr>
      <w:rFonts w:ascii="Tahoma" w:eastAsia="Cambria" w:hAnsi="Tahoma" w:cs="Tahoma"/>
      <w:sz w:val="16"/>
      <w:szCs w:val="16"/>
      <w:lang w:val="en-US"/>
    </w:rPr>
  </w:style>
  <w:style w:type="paragraph" w:customStyle="1" w:styleId="cn">
    <w:name w:val="cn"/>
    <w:basedOn w:val="Normal"/>
    <w:uiPriority w:val="99"/>
    <w:rsid w:val="008C2F1E"/>
    <w:pPr>
      <w:spacing w:after="0" w:line="240" w:lineRule="auto"/>
      <w:jc w:val="center"/>
    </w:pPr>
    <w:rPr>
      <w:rFonts w:ascii="Times New Roman" w:eastAsia="MS Mincho" w:hAnsi="Times New Roman"/>
      <w:sz w:val="24"/>
      <w:szCs w:val="24"/>
      <w:lang w:val="ro-RO" w:eastAsia="ro-RO"/>
    </w:rPr>
  </w:style>
  <w:style w:type="paragraph" w:customStyle="1" w:styleId="cb">
    <w:name w:val="cb"/>
    <w:basedOn w:val="Normal"/>
    <w:rsid w:val="008C2F1E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ro-RO" w:eastAsia="ro-RO"/>
    </w:rPr>
  </w:style>
  <w:style w:type="paragraph" w:customStyle="1" w:styleId="rg">
    <w:name w:val="rg"/>
    <w:basedOn w:val="Normal"/>
    <w:uiPriority w:val="99"/>
    <w:rsid w:val="008C2F1E"/>
    <w:pPr>
      <w:spacing w:after="0" w:line="240" w:lineRule="auto"/>
      <w:jc w:val="right"/>
    </w:pPr>
    <w:rPr>
      <w:rFonts w:ascii="Times New Roman" w:eastAsia="MS Mincho" w:hAnsi="Times New Roman"/>
      <w:sz w:val="24"/>
      <w:szCs w:val="24"/>
      <w:lang w:val="ro-RO" w:eastAsia="ro-RO"/>
    </w:rPr>
  </w:style>
  <w:style w:type="paragraph" w:customStyle="1" w:styleId="lf">
    <w:name w:val="lf"/>
    <w:basedOn w:val="Normal"/>
    <w:uiPriority w:val="99"/>
    <w:rsid w:val="008C2F1E"/>
    <w:pPr>
      <w:spacing w:after="0" w:line="240" w:lineRule="auto"/>
    </w:pPr>
    <w:rPr>
      <w:rFonts w:ascii="Times New Roman" w:eastAsia="MS Mincho" w:hAnsi="Times New Roman"/>
      <w:sz w:val="24"/>
      <w:szCs w:val="24"/>
      <w:lang w:val="ro-RO" w:eastAsia="ro-RO"/>
    </w:rPr>
  </w:style>
  <w:style w:type="character" w:styleId="CommentReference">
    <w:name w:val="annotation reference"/>
    <w:unhideWhenUsed/>
    <w:rsid w:val="008C2F1E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C2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C2F1E"/>
    <w:rPr>
      <w:rFonts w:ascii="Cambria" w:eastAsia="Cambria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C2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C2F1E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C2F1E"/>
    <w:pPr>
      <w:ind w:left="720"/>
      <w:contextualSpacing/>
    </w:pPr>
  </w:style>
  <w:style w:type="paragraph" w:styleId="Revision">
    <w:name w:val="Revision"/>
    <w:hidden/>
    <w:uiPriority w:val="71"/>
    <w:rsid w:val="008C2F1E"/>
    <w:pPr>
      <w:spacing w:after="0" w:line="240" w:lineRule="auto"/>
    </w:pPr>
    <w:rPr>
      <w:rFonts w:ascii="Cambria" w:eastAsia="Cambria" w:hAnsi="Cambria" w:cs="Times New Roman"/>
      <w:lang w:val="en-US"/>
    </w:rPr>
  </w:style>
  <w:style w:type="paragraph" w:customStyle="1" w:styleId="NoSpacing1">
    <w:name w:val="No Spacing1"/>
    <w:qFormat/>
    <w:rsid w:val="008C2F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qFormat/>
    <w:rsid w:val="008C2F1E"/>
    <w:pPr>
      <w:ind w:left="720"/>
      <w:contextualSpacing/>
    </w:pPr>
    <w:rPr>
      <w:rFonts w:ascii="Calibri" w:eastAsia="Calibri" w:hAnsi="Calibri"/>
    </w:rPr>
  </w:style>
  <w:style w:type="paragraph" w:styleId="Title">
    <w:name w:val="Title"/>
    <w:basedOn w:val="Normal"/>
    <w:next w:val="Normal"/>
    <w:link w:val="TitleChar"/>
    <w:qFormat/>
    <w:rsid w:val="008C2F1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C2F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8C2F1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C2F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1">
    <w:name w:val="Заголовок оглавления1"/>
    <w:basedOn w:val="Heading1"/>
    <w:next w:val="Normal"/>
    <w:qFormat/>
    <w:rsid w:val="008C2F1E"/>
    <w:pPr>
      <w:outlineLvl w:val="9"/>
    </w:pPr>
  </w:style>
  <w:style w:type="paragraph" w:styleId="TOC1">
    <w:name w:val="toc 1"/>
    <w:basedOn w:val="Normal"/>
    <w:next w:val="Normal"/>
    <w:autoRedefine/>
    <w:unhideWhenUsed/>
    <w:rsid w:val="008C2F1E"/>
    <w:pPr>
      <w:spacing w:after="100"/>
    </w:pPr>
    <w:rPr>
      <w:rFonts w:ascii="Calibri" w:eastAsia="Times New Roman" w:hAnsi="Calibri"/>
    </w:rPr>
  </w:style>
  <w:style w:type="paragraph" w:styleId="TOC2">
    <w:name w:val="toc 2"/>
    <w:basedOn w:val="Normal"/>
    <w:next w:val="Normal"/>
    <w:autoRedefine/>
    <w:unhideWhenUsed/>
    <w:rsid w:val="008C2F1E"/>
    <w:pPr>
      <w:spacing w:after="100"/>
      <w:ind w:left="220"/>
    </w:pPr>
    <w:rPr>
      <w:rFonts w:ascii="Calibri" w:eastAsia="Times New Roman" w:hAnsi="Calibri"/>
    </w:rPr>
  </w:style>
  <w:style w:type="character" w:styleId="Hyperlink">
    <w:name w:val="Hyperlink"/>
    <w:unhideWhenUsed/>
    <w:rsid w:val="008C2F1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8C2F1E"/>
    <w:pPr>
      <w:spacing w:after="0" w:line="24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C2F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0">
    <w:name w:val="Абзац списка1"/>
    <w:basedOn w:val="Normal"/>
    <w:qFormat/>
    <w:rsid w:val="008C2F1E"/>
    <w:pPr>
      <w:ind w:left="720"/>
      <w:contextualSpacing/>
    </w:pPr>
    <w:rPr>
      <w:rFonts w:ascii="Calibri" w:eastAsia="Times New Roman" w:hAnsi="Calibri"/>
    </w:rPr>
  </w:style>
  <w:style w:type="paragraph" w:customStyle="1" w:styleId="Default">
    <w:name w:val="Default"/>
    <w:rsid w:val="008C2F1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character" w:customStyle="1" w:styleId="hps">
    <w:name w:val="hps"/>
    <w:basedOn w:val="DefaultParagraphFont"/>
    <w:rsid w:val="008C2F1E"/>
  </w:style>
  <w:style w:type="paragraph" w:styleId="Header">
    <w:name w:val="header"/>
    <w:basedOn w:val="Normal"/>
    <w:link w:val="HeaderChar"/>
    <w:uiPriority w:val="99"/>
    <w:unhideWhenUsed/>
    <w:rsid w:val="008C2F1E"/>
    <w:pPr>
      <w:tabs>
        <w:tab w:val="center" w:pos="4844"/>
        <w:tab w:val="right" w:pos="9689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8C2F1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2F1E"/>
    <w:pPr>
      <w:tabs>
        <w:tab w:val="center" w:pos="4844"/>
        <w:tab w:val="right" w:pos="9689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8C2F1E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8C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">
    <w:name w:val="cp"/>
    <w:basedOn w:val="Normal"/>
    <w:rsid w:val="008C2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C2F1E"/>
  </w:style>
  <w:style w:type="character" w:styleId="FootnoteReference">
    <w:name w:val="footnote reference"/>
    <w:rsid w:val="008C2F1E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C2F1E"/>
    <w:pPr>
      <w:widowControl w:val="0"/>
      <w:spacing w:after="0" w:line="240" w:lineRule="auto"/>
      <w:ind w:left="103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8C2F1E"/>
    <w:pPr>
      <w:spacing w:after="0" w:line="240" w:lineRule="auto"/>
    </w:pPr>
    <w:rPr>
      <w:rFonts w:ascii="Cambria" w:eastAsia="Cambria" w:hAnsi="Cambria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8C2F1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1E"/>
    <w:rPr>
      <w:rFonts w:ascii="Cambria" w:eastAsia="Cambria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2F1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C2F1E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1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C2F1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8C2F1E"/>
    <w:pPr>
      <w:spacing w:after="0" w:line="240" w:lineRule="auto"/>
      <w:ind w:firstLine="567"/>
      <w:jc w:val="both"/>
    </w:pPr>
    <w:rPr>
      <w:rFonts w:ascii="Times New Roman" w:eastAsia="MS Mincho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semiHidden/>
    <w:unhideWhenUsed/>
    <w:rsid w:val="008C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2F1E"/>
    <w:rPr>
      <w:rFonts w:ascii="Tahoma" w:eastAsia="Cambria" w:hAnsi="Tahoma" w:cs="Tahoma"/>
      <w:sz w:val="16"/>
      <w:szCs w:val="16"/>
      <w:lang w:val="en-US"/>
    </w:rPr>
  </w:style>
  <w:style w:type="paragraph" w:customStyle="1" w:styleId="cn">
    <w:name w:val="cn"/>
    <w:basedOn w:val="Normal"/>
    <w:uiPriority w:val="99"/>
    <w:rsid w:val="008C2F1E"/>
    <w:pPr>
      <w:spacing w:after="0" w:line="240" w:lineRule="auto"/>
      <w:jc w:val="center"/>
    </w:pPr>
    <w:rPr>
      <w:rFonts w:ascii="Times New Roman" w:eastAsia="MS Mincho" w:hAnsi="Times New Roman"/>
      <w:sz w:val="24"/>
      <w:szCs w:val="24"/>
      <w:lang w:val="ro-RO" w:eastAsia="ro-RO"/>
    </w:rPr>
  </w:style>
  <w:style w:type="paragraph" w:customStyle="1" w:styleId="cb">
    <w:name w:val="cb"/>
    <w:basedOn w:val="Normal"/>
    <w:rsid w:val="008C2F1E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ro-RO" w:eastAsia="ro-RO"/>
    </w:rPr>
  </w:style>
  <w:style w:type="paragraph" w:customStyle="1" w:styleId="rg">
    <w:name w:val="rg"/>
    <w:basedOn w:val="Normal"/>
    <w:uiPriority w:val="99"/>
    <w:rsid w:val="008C2F1E"/>
    <w:pPr>
      <w:spacing w:after="0" w:line="240" w:lineRule="auto"/>
      <w:jc w:val="right"/>
    </w:pPr>
    <w:rPr>
      <w:rFonts w:ascii="Times New Roman" w:eastAsia="MS Mincho" w:hAnsi="Times New Roman"/>
      <w:sz w:val="24"/>
      <w:szCs w:val="24"/>
      <w:lang w:val="ro-RO" w:eastAsia="ro-RO"/>
    </w:rPr>
  </w:style>
  <w:style w:type="paragraph" w:customStyle="1" w:styleId="lf">
    <w:name w:val="lf"/>
    <w:basedOn w:val="Normal"/>
    <w:uiPriority w:val="99"/>
    <w:rsid w:val="008C2F1E"/>
    <w:pPr>
      <w:spacing w:after="0" w:line="240" w:lineRule="auto"/>
    </w:pPr>
    <w:rPr>
      <w:rFonts w:ascii="Times New Roman" w:eastAsia="MS Mincho" w:hAnsi="Times New Roman"/>
      <w:sz w:val="24"/>
      <w:szCs w:val="24"/>
      <w:lang w:val="ro-RO" w:eastAsia="ro-RO"/>
    </w:rPr>
  </w:style>
  <w:style w:type="character" w:styleId="CommentReference">
    <w:name w:val="annotation reference"/>
    <w:unhideWhenUsed/>
    <w:rsid w:val="008C2F1E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C2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C2F1E"/>
    <w:rPr>
      <w:rFonts w:ascii="Cambria" w:eastAsia="Cambria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C2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C2F1E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C2F1E"/>
    <w:pPr>
      <w:ind w:left="720"/>
      <w:contextualSpacing/>
    </w:pPr>
  </w:style>
  <w:style w:type="paragraph" w:styleId="Revision">
    <w:name w:val="Revision"/>
    <w:hidden/>
    <w:uiPriority w:val="71"/>
    <w:rsid w:val="008C2F1E"/>
    <w:pPr>
      <w:spacing w:after="0" w:line="240" w:lineRule="auto"/>
    </w:pPr>
    <w:rPr>
      <w:rFonts w:ascii="Cambria" w:eastAsia="Cambria" w:hAnsi="Cambria" w:cs="Times New Roman"/>
      <w:lang w:val="en-US"/>
    </w:rPr>
  </w:style>
  <w:style w:type="paragraph" w:customStyle="1" w:styleId="NoSpacing1">
    <w:name w:val="No Spacing1"/>
    <w:qFormat/>
    <w:rsid w:val="008C2F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qFormat/>
    <w:rsid w:val="008C2F1E"/>
    <w:pPr>
      <w:ind w:left="720"/>
      <w:contextualSpacing/>
    </w:pPr>
    <w:rPr>
      <w:rFonts w:ascii="Calibri" w:eastAsia="Calibri" w:hAnsi="Calibri"/>
    </w:rPr>
  </w:style>
  <w:style w:type="paragraph" w:styleId="Title">
    <w:name w:val="Title"/>
    <w:basedOn w:val="Normal"/>
    <w:next w:val="Normal"/>
    <w:link w:val="TitleChar"/>
    <w:qFormat/>
    <w:rsid w:val="008C2F1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C2F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8C2F1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C2F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1">
    <w:name w:val="Заголовок оглавления1"/>
    <w:basedOn w:val="Heading1"/>
    <w:next w:val="Normal"/>
    <w:qFormat/>
    <w:rsid w:val="008C2F1E"/>
    <w:pPr>
      <w:outlineLvl w:val="9"/>
    </w:pPr>
  </w:style>
  <w:style w:type="paragraph" w:styleId="TOC1">
    <w:name w:val="toc 1"/>
    <w:basedOn w:val="Normal"/>
    <w:next w:val="Normal"/>
    <w:autoRedefine/>
    <w:unhideWhenUsed/>
    <w:rsid w:val="008C2F1E"/>
    <w:pPr>
      <w:spacing w:after="100"/>
    </w:pPr>
    <w:rPr>
      <w:rFonts w:ascii="Calibri" w:eastAsia="Times New Roman" w:hAnsi="Calibri"/>
    </w:rPr>
  </w:style>
  <w:style w:type="paragraph" w:styleId="TOC2">
    <w:name w:val="toc 2"/>
    <w:basedOn w:val="Normal"/>
    <w:next w:val="Normal"/>
    <w:autoRedefine/>
    <w:unhideWhenUsed/>
    <w:rsid w:val="008C2F1E"/>
    <w:pPr>
      <w:spacing w:after="100"/>
      <w:ind w:left="220"/>
    </w:pPr>
    <w:rPr>
      <w:rFonts w:ascii="Calibri" w:eastAsia="Times New Roman" w:hAnsi="Calibri"/>
    </w:rPr>
  </w:style>
  <w:style w:type="character" w:styleId="Hyperlink">
    <w:name w:val="Hyperlink"/>
    <w:unhideWhenUsed/>
    <w:rsid w:val="008C2F1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8C2F1E"/>
    <w:pPr>
      <w:spacing w:after="0" w:line="24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C2F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0">
    <w:name w:val="Абзац списка1"/>
    <w:basedOn w:val="Normal"/>
    <w:qFormat/>
    <w:rsid w:val="008C2F1E"/>
    <w:pPr>
      <w:ind w:left="720"/>
      <w:contextualSpacing/>
    </w:pPr>
    <w:rPr>
      <w:rFonts w:ascii="Calibri" w:eastAsia="Times New Roman" w:hAnsi="Calibri"/>
    </w:rPr>
  </w:style>
  <w:style w:type="paragraph" w:customStyle="1" w:styleId="Default">
    <w:name w:val="Default"/>
    <w:rsid w:val="008C2F1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character" w:customStyle="1" w:styleId="hps">
    <w:name w:val="hps"/>
    <w:basedOn w:val="DefaultParagraphFont"/>
    <w:rsid w:val="008C2F1E"/>
  </w:style>
  <w:style w:type="paragraph" w:styleId="Header">
    <w:name w:val="header"/>
    <w:basedOn w:val="Normal"/>
    <w:link w:val="HeaderChar"/>
    <w:uiPriority w:val="99"/>
    <w:unhideWhenUsed/>
    <w:rsid w:val="008C2F1E"/>
    <w:pPr>
      <w:tabs>
        <w:tab w:val="center" w:pos="4844"/>
        <w:tab w:val="right" w:pos="9689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8C2F1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2F1E"/>
    <w:pPr>
      <w:tabs>
        <w:tab w:val="center" w:pos="4844"/>
        <w:tab w:val="right" w:pos="9689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8C2F1E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8C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">
    <w:name w:val="cp"/>
    <w:basedOn w:val="Normal"/>
    <w:rsid w:val="008C2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C2F1E"/>
  </w:style>
  <w:style w:type="character" w:styleId="FootnoteReference">
    <w:name w:val="footnote reference"/>
    <w:rsid w:val="008C2F1E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C2F1E"/>
    <w:pPr>
      <w:widowControl w:val="0"/>
      <w:spacing w:after="0" w:line="240" w:lineRule="auto"/>
      <w:ind w:left="103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8C2F1E"/>
    <w:pPr>
      <w:spacing w:after="0" w:line="240" w:lineRule="auto"/>
    </w:pPr>
    <w:rPr>
      <w:rFonts w:ascii="Cambria" w:eastAsia="Cambria" w:hAnsi="Cambria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8C2F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volunta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5695</Words>
  <Characters>32463</Characters>
  <Application>Microsoft Office Word</Application>
  <DocSecurity>0</DocSecurity>
  <Lines>270</Lines>
  <Paragraphs>76</Paragraphs>
  <ScaleCrop>false</ScaleCrop>
  <Company/>
  <LinksUpToDate>false</LinksUpToDate>
  <CharactersWithSpaces>38082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2018-05-18T10:56:00Z</dcterms:created>
  <dcterms:modified xsi:type="dcterms:W3CDTF">2018-05-18T10:57:00Z</dcterms:modified>
</cp:coreProperties>
</file>